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723"/>
      </w:pPr>
      <w:r>
        <w:rPr>
          <w:rFonts w:hint="eastAsia"/>
        </w:rPr>
        <w:t>成人高等教育护理专业人才培养方案</w:t>
      </w:r>
    </w:p>
    <w:p>
      <w:pPr>
        <w:pStyle w:val="11"/>
        <w:ind w:firstLine="560"/>
        <w:rPr>
          <w:b w:val="0"/>
          <w:sz w:val="28"/>
        </w:rPr>
      </w:pPr>
      <w:r>
        <w:rPr>
          <w:rFonts w:hint="eastAsia"/>
          <w:b w:val="0"/>
          <w:sz w:val="28"/>
        </w:rPr>
        <w:t>办学层次：高起专  学习形式：函授</w:t>
      </w:r>
    </w:p>
    <w:p>
      <w:pPr>
        <w:widowControl/>
        <w:adjustRightInd w:val="0"/>
        <w:snapToGrid w:val="0"/>
        <w:spacing w:line="324" w:lineRule="auto"/>
        <w:ind w:firstLine="420" w:firstLineChars="200"/>
        <w:jc w:val="left"/>
        <w:rPr>
          <w:rFonts w:ascii="宋体"/>
          <w:color w:val="000000"/>
          <w:kern w:val="0"/>
        </w:rPr>
      </w:pPr>
    </w:p>
    <w:p>
      <w:pPr>
        <w:pStyle w:val="2"/>
        <w:spacing w:before="0" w:after="0" w:line="480" w:lineRule="exact"/>
        <w:ind w:firstLine="562"/>
        <w:rPr>
          <w:rFonts w:ascii="黑体" w:hAnsi="黑体" w:eastAsia="黑体"/>
          <w:sz w:val="28"/>
          <w:szCs w:val="28"/>
        </w:rPr>
      </w:pPr>
      <w:r>
        <w:rPr>
          <w:rFonts w:ascii="黑体" w:hAnsi="黑体" w:eastAsia="黑体"/>
          <w:sz w:val="28"/>
          <w:szCs w:val="28"/>
        </w:rPr>
        <w:t>一、专业名称及代码</w:t>
      </w:r>
    </w:p>
    <w:p>
      <w:pPr>
        <w:spacing w:line="480" w:lineRule="exact"/>
        <w:ind w:firstLine="480"/>
        <w:rPr>
          <w:sz w:val="24"/>
          <w:szCs w:val="24"/>
        </w:rPr>
      </w:pPr>
      <w:r>
        <w:rPr>
          <w:rFonts w:hint="eastAsia"/>
          <w:sz w:val="24"/>
          <w:szCs w:val="24"/>
        </w:rPr>
        <w:t>专业名称：护理</w:t>
      </w:r>
    </w:p>
    <w:p>
      <w:pPr>
        <w:spacing w:line="480" w:lineRule="exact"/>
        <w:ind w:firstLine="480"/>
        <w:rPr>
          <w:sz w:val="24"/>
          <w:szCs w:val="24"/>
        </w:rPr>
      </w:pPr>
      <w:r>
        <w:rPr>
          <w:rFonts w:hint="eastAsia"/>
          <w:sz w:val="24"/>
          <w:szCs w:val="24"/>
        </w:rPr>
        <w:t>专业代码：520201</w:t>
      </w:r>
    </w:p>
    <w:p>
      <w:pPr>
        <w:pStyle w:val="2"/>
        <w:spacing w:before="0" w:after="0" w:line="480" w:lineRule="exact"/>
        <w:ind w:firstLine="562"/>
        <w:rPr>
          <w:rFonts w:ascii="黑体" w:hAnsi="黑体" w:eastAsia="黑体"/>
          <w:sz w:val="28"/>
          <w:szCs w:val="28"/>
        </w:rPr>
      </w:pPr>
      <w:r>
        <w:rPr>
          <w:rFonts w:ascii="黑体" w:hAnsi="黑体" w:eastAsia="黑体"/>
          <w:sz w:val="28"/>
          <w:szCs w:val="28"/>
        </w:rPr>
        <w:t>二、入学要求</w:t>
      </w:r>
    </w:p>
    <w:p>
      <w:pPr>
        <w:spacing w:line="480" w:lineRule="exact"/>
        <w:ind w:firstLine="480"/>
        <w:rPr>
          <w:sz w:val="24"/>
          <w:szCs w:val="24"/>
        </w:rPr>
      </w:pPr>
      <w:r>
        <w:rPr>
          <w:rFonts w:hint="eastAsia"/>
          <w:sz w:val="24"/>
          <w:szCs w:val="24"/>
        </w:rPr>
        <w:t>普通高级中学毕业，中等职业学校毕业</w:t>
      </w:r>
      <w:r>
        <w:rPr>
          <w:sz w:val="24"/>
          <w:szCs w:val="24"/>
        </w:rPr>
        <w:t>或具有同等学力者。</w:t>
      </w:r>
    </w:p>
    <w:p>
      <w:pPr>
        <w:pStyle w:val="2"/>
        <w:spacing w:before="0" w:after="0" w:line="480" w:lineRule="exact"/>
        <w:ind w:firstLine="562"/>
        <w:rPr>
          <w:rFonts w:ascii="黑体" w:hAnsi="黑体" w:eastAsia="黑体"/>
          <w:sz w:val="28"/>
          <w:szCs w:val="28"/>
        </w:rPr>
      </w:pPr>
      <w:r>
        <w:rPr>
          <w:rFonts w:ascii="黑体" w:hAnsi="黑体" w:eastAsia="黑体"/>
          <w:sz w:val="28"/>
          <w:szCs w:val="28"/>
        </w:rPr>
        <w:t>三、修业年限</w:t>
      </w:r>
    </w:p>
    <w:p>
      <w:pPr>
        <w:spacing w:line="480" w:lineRule="exact"/>
        <w:ind w:firstLine="480"/>
        <w:rPr>
          <w:sz w:val="24"/>
          <w:szCs w:val="24"/>
        </w:rPr>
      </w:pPr>
      <w:r>
        <w:rPr>
          <w:rFonts w:hint="eastAsia"/>
          <w:sz w:val="24"/>
          <w:szCs w:val="24"/>
        </w:rPr>
        <w:t>基本学习年限2.5年。</w:t>
      </w:r>
    </w:p>
    <w:p>
      <w:pPr>
        <w:pStyle w:val="2"/>
        <w:spacing w:before="0" w:after="0" w:line="480" w:lineRule="exact"/>
        <w:ind w:firstLine="562"/>
        <w:rPr>
          <w:rFonts w:ascii="黑体" w:hAnsi="黑体" w:eastAsia="黑体"/>
          <w:sz w:val="28"/>
          <w:szCs w:val="28"/>
        </w:rPr>
      </w:pPr>
      <w:r>
        <w:rPr>
          <w:rFonts w:hint="eastAsia" w:ascii="黑体" w:hAnsi="黑体" w:eastAsia="黑体"/>
          <w:sz w:val="28"/>
          <w:szCs w:val="28"/>
        </w:rPr>
        <w:t>四</w:t>
      </w:r>
      <w:r>
        <w:rPr>
          <w:rFonts w:ascii="黑体" w:hAnsi="黑体" w:eastAsia="黑体"/>
          <w:sz w:val="28"/>
          <w:szCs w:val="28"/>
        </w:rPr>
        <w:t>、培养目标与培养规格</w:t>
      </w:r>
    </w:p>
    <w:p>
      <w:pPr>
        <w:pStyle w:val="2"/>
        <w:spacing w:before="0" w:after="0" w:line="480" w:lineRule="exact"/>
        <w:ind w:firstLine="562"/>
        <w:rPr>
          <w:rFonts w:ascii="宋体" w:hAnsi="宋体"/>
          <w:sz w:val="28"/>
          <w:szCs w:val="28"/>
        </w:rPr>
      </w:pPr>
      <w:r>
        <w:rPr>
          <w:rFonts w:ascii="宋体" w:hAnsi="宋体"/>
          <w:sz w:val="28"/>
          <w:szCs w:val="28"/>
        </w:rPr>
        <w:t>（一）培养目标</w:t>
      </w:r>
    </w:p>
    <w:p>
      <w:pPr>
        <w:spacing w:line="480" w:lineRule="exact"/>
        <w:ind w:firstLine="480"/>
        <w:rPr>
          <w:rFonts w:ascii="宋体" w:hAnsi="宋体"/>
          <w:sz w:val="24"/>
          <w:szCs w:val="24"/>
        </w:rPr>
      </w:pPr>
      <w:r>
        <w:rPr>
          <w:rFonts w:hint="eastAsia" w:ascii="宋体" w:hAnsi="宋体"/>
          <w:sz w:val="24"/>
          <w:szCs w:val="24"/>
        </w:rPr>
        <w:t>本专业培养拥护中国共产党的领导，拥护中国特色社会主义制度，理想信念坚定，德智体美劳全面发展，具有一定的科学文化水平，具有良好的人文素养、职业道德、创新精神和工匠精神，具有较强的执业能力、就业能力和可持续发展的能力，掌握</w:t>
      </w:r>
      <w:r>
        <w:rPr>
          <w:rFonts w:hint="eastAsia" w:ascii="宋体" w:hAnsi="宋体" w:cs="宋体"/>
          <w:sz w:val="24"/>
        </w:rPr>
        <w:t>护理专业知识和技术技能，</w:t>
      </w:r>
      <w:r>
        <w:rPr>
          <w:rFonts w:hint="eastAsia" w:ascii="宋体" w:hAnsi="宋体"/>
          <w:sz w:val="24"/>
          <w:szCs w:val="24"/>
        </w:rPr>
        <w:t>面向</w:t>
      </w:r>
      <w:r>
        <w:rPr>
          <w:rFonts w:hint="eastAsia" w:ascii="宋体" w:hAnsi="宋体" w:cs="宋体"/>
          <w:sz w:val="24"/>
        </w:rPr>
        <w:t>医院及其它医疗卫生机构的护理岗位</w:t>
      </w:r>
      <w:r>
        <w:rPr>
          <w:rFonts w:hint="eastAsia" w:ascii="宋体" w:hAnsi="宋体"/>
          <w:sz w:val="24"/>
          <w:szCs w:val="24"/>
        </w:rPr>
        <w:t>等行业的职业群或岗位群，能够从事</w:t>
      </w:r>
      <w:r>
        <w:rPr>
          <w:rFonts w:hint="eastAsia" w:ascii="宋体" w:hAnsi="宋体" w:cs="宋体"/>
          <w:sz w:val="24"/>
        </w:rPr>
        <w:t>临床护理、社区护理、健康保健</w:t>
      </w:r>
      <w:r>
        <w:rPr>
          <w:rFonts w:hint="eastAsia" w:ascii="宋体" w:hAnsi="宋体"/>
          <w:sz w:val="24"/>
          <w:szCs w:val="24"/>
        </w:rPr>
        <w:t>等工作的“厚德、励志、博学、创新”的高素质卫生保健技术人才。</w:t>
      </w:r>
    </w:p>
    <w:p>
      <w:pPr>
        <w:pStyle w:val="2"/>
        <w:spacing w:before="0" w:after="0" w:line="480" w:lineRule="exact"/>
        <w:ind w:firstLine="562"/>
        <w:rPr>
          <w:rFonts w:ascii="宋体" w:hAnsi="宋体"/>
          <w:sz w:val="28"/>
          <w:szCs w:val="28"/>
        </w:rPr>
      </w:pPr>
      <w:r>
        <w:rPr>
          <w:rFonts w:ascii="宋体" w:hAnsi="宋体"/>
          <w:sz w:val="28"/>
          <w:szCs w:val="28"/>
        </w:rPr>
        <w:t>（二）培养规格</w:t>
      </w:r>
    </w:p>
    <w:p>
      <w:pPr>
        <w:spacing w:line="480" w:lineRule="exact"/>
        <w:ind w:firstLine="480" w:firstLineChars="200"/>
        <w:rPr>
          <w:rFonts w:ascii="宋体" w:hAnsi="宋体" w:cs="宋体"/>
          <w:sz w:val="24"/>
        </w:rPr>
      </w:pPr>
      <w:r>
        <w:rPr>
          <w:rFonts w:hint="eastAsia" w:ascii="宋体" w:hAnsi="宋体" w:cs="宋体"/>
          <w:sz w:val="24"/>
        </w:rPr>
        <w:t>本专业毕业生应在素质、知识和能力方面达到以下要求：</w:t>
      </w:r>
    </w:p>
    <w:p>
      <w:pPr>
        <w:spacing w:line="480" w:lineRule="exact"/>
        <w:ind w:firstLine="480" w:firstLineChars="200"/>
        <w:rPr>
          <w:rFonts w:ascii="宋体" w:hAnsi="宋体" w:cs="宋体"/>
          <w:sz w:val="24"/>
        </w:rPr>
      </w:pPr>
      <w:r>
        <w:rPr>
          <w:rFonts w:hint="eastAsia" w:ascii="宋体" w:hAnsi="宋体" w:cs="宋体"/>
          <w:sz w:val="24"/>
        </w:rPr>
        <w:t>1.素质：</w:t>
      </w:r>
    </w:p>
    <w:p>
      <w:pPr>
        <w:spacing w:line="480" w:lineRule="exact"/>
        <w:ind w:firstLine="480" w:firstLineChars="200"/>
        <w:rPr>
          <w:rFonts w:ascii="宋体" w:hAnsi="宋体" w:cs="宋体"/>
          <w:sz w:val="24"/>
        </w:rPr>
      </w:pPr>
      <w:r>
        <w:rPr>
          <w:rFonts w:hint="eastAsia" w:ascii="宋体" w:hAnsi="宋体" w:cs="宋体"/>
          <w:sz w:val="24"/>
        </w:rPr>
        <w:t>1）坚定拥护中国共产党领导和我国社会主义制度,在习近平新时代中国特色社会主义思想指引下，践行社会主义核心价值观，具有深厚的爱国情感和中华民族自豪感；</w:t>
      </w:r>
    </w:p>
    <w:p>
      <w:pPr>
        <w:spacing w:line="480" w:lineRule="exact"/>
        <w:ind w:firstLine="480" w:firstLineChars="200"/>
        <w:rPr>
          <w:rFonts w:ascii="宋体" w:hAnsi="宋体" w:cs="宋体"/>
          <w:sz w:val="24"/>
        </w:rPr>
      </w:pPr>
      <w:r>
        <w:rPr>
          <w:rFonts w:hint="eastAsia" w:ascii="宋体" w:hAnsi="宋体" w:cs="宋体"/>
          <w:sz w:val="24"/>
        </w:rPr>
        <w:t>2）崇尚宪法、遵法守纪、崇德向善、诚实守信、尊重生命、热爱劳动，履行道德准则和行为规范，具有社会责任感和社会参与意识；</w:t>
      </w:r>
    </w:p>
    <w:p>
      <w:pPr>
        <w:spacing w:line="480" w:lineRule="exact"/>
        <w:ind w:firstLine="480" w:firstLineChars="200"/>
        <w:rPr>
          <w:rFonts w:ascii="宋体" w:hAnsi="宋体" w:cs="宋体"/>
          <w:sz w:val="24"/>
        </w:rPr>
      </w:pPr>
      <w:r>
        <w:rPr>
          <w:rFonts w:hint="eastAsia" w:ascii="宋体" w:hAnsi="宋体" w:cs="宋体"/>
          <w:sz w:val="24"/>
        </w:rPr>
        <w:t>3）具有质量意识、环保意识、安全意识、信息素养、工匠精神、创新思维；</w:t>
      </w:r>
    </w:p>
    <w:p>
      <w:pPr>
        <w:spacing w:line="480" w:lineRule="exact"/>
        <w:ind w:firstLine="480" w:firstLineChars="200"/>
        <w:rPr>
          <w:rFonts w:ascii="宋体" w:hAnsi="宋体" w:cs="宋体"/>
          <w:sz w:val="24"/>
        </w:rPr>
      </w:pPr>
      <w:r>
        <w:rPr>
          <w:rFonts w:hint="eastAsia" w:ascii="宋体" w:hAnsi="宋体" w:cs="宋体"/>
          <w:sz w:val="24"/>
        </w:rPr>
        <w:t>4）勇于奋斗、乐观向上，具有自我管理能力、职业生涯规划的意识，有较强的集体意识和团队合作精神；</w:t>
      </w:r>
    </w:p>
    <w:p>
      <w:pPr>
        <w:spacing w:line="480" w:lineRule="exact"/>
        <w:ind w:firstLine="480" w:firstLineChars="200"/>
        <w:rPr>
          <w:rFonts w:ascii="宋体" w:hAnsi="宋体" w:cs="宋体"/>
          <w:sz w:val="24"/>
        </w:rPr>
      </w:pPr>
      <w:r>
        <w:rPr>
          <w:rFonts w:hint="eastAsia" w:ascii="宋体" w:hAnsi="宋体" w:cs="宋体"/>
          <w:sz w:val="24"/>
        </w:rPr>
        <w:t>5）具有健康的体魄、心理和健全的人格，掌握基本运动知识和1-2项运动技能，养成良好的健身与卫生习惯，良好的行为习惯；</w:t>
      </w:r>
    </w:p>
    <w:p>
      <w:pPr>
        <w:spacing w:line="480" w:lineRule="exact"/>
        <w:ind w:firstLine="480" w:firstLineChars="200"/>
        <w:rPr>
          <w:rFonts w:ascii="宋体" w:hAnsi="宋体" w:cs="宋体"/>
          <w:sz w:val="24"/>
        </w:rPr>
      </w:pPr>
      <w:r>
        <w:rPr>
          <w:rFonts w:hint="eastAsia" w:ascii="宋体" w:hAnsi="宋体" w:cs="宋体"/>
          <w:sz w:val="24"/>
        </w:rPr>
        <w:t>6）具有一定的审美和人文素养，能够形成1-2项艺术特长或爱好。</w:t>
      </w:r>
    </w:p>
    <w:p>
      <w:pPr>
        <w:spacing w:line="480" w:lineRule="exact"/>
        <w:ind w:firstLine="480" w:firstLineChars="200"/>
        <w:rPr>
          <w:rFonts w:ascii="宋体" w:hAnsi="宋体"/>
          <w:sz w:val="24"/>
          <w:szCs w:val="24"/>
        </w:rPr>
      </w:pPr>
      <w:r>
        <w:rPr>
          <w:rFonts w:hint="eastAsia" w:ascii="宋体" w:hAnsi="宋体"/>
          <w:sz w:val="24"/>
          <w:szCs w:val="24"/>
        </w:rPr>
        <w:t>2.科学文化：</w:t>
      </w:r>
    </w:p>
    <w:p>
      <w:pPr>
        <w:spacing w:line="480" w:lineRule="exact"/>
        <w:ind w:firstLine="480" w:firstLineChars="200"/>
        <w:rPr>
          <w:rFonts w:ascii="宋体" w:hAnsi="宋体"/>
          <w:sz w:val="24"/>
          <w:szCs w:val="24"/>
        </w:rPr>
      </w:pPr>
      <w:r>
        <w:rPr>
          <w:rFonts w:hint="eastAsia" w:ascii="宋体" w:hAnsi="宋体"/>
          <w:sz w:val="24"/>
          <w:szCs w:val="24"/>
        </w:rPr>
        <w:t>知识：</w:t>
      </w:r>
    </w:p>
    <w:p>
      <w:pPr>
        <w:spacing w:line="480" w:lineRule="exact"/>
        <w:ind w:firstLine="480" w:firstLineChars="200"/>
        <w:rPr>
          <w:rFonts w:ascii="宋体" w:hAnsi="宋体" w:cs="宋体"/>
          <w:sz w:val="24"/>
        </w:rPr>
      </w:pPr>
      <w:r>
        <w:rPr>
          <w:rFonts w:hint="eastAsia" w:ascii="宋体" w:hAnsi="宋体" w:cs="宋体"/>
          <w:sz w:val="24"/>
        </w:rPr>
        <w:t>1）掌握必备的思想政治理论、科学文化基础知识和中华优秀传统文化知识；</w:t>
      </w:r>
    </w:p>
    <w:p>
      <w:pPr>
        <w:spacing w:line="480" w:lineRule="exact"/>
        <w:ind w:firstLine="480" w:firstLineChars="200"/>
        <w:rPr>
          <w:rFonts w:ascii="宋体" w:hAnsi="宋体" w:cs="宋体"/>
          <w:sz w:val="24"/>
        </w:rPr>
      </w:pPr>
      <w:r>
        <w:rPr>
          <w:rFonts w:hint="eastAsia" w:ascii="宋体" w:hAnsi="宋体" w:cs="宋体"/>
          <w:sz w:val="24"/>
        </w:rPr>
        <w:t>2）熟悉与本专业相关的法律法规以及环境保护、安全消防等相关知识；</w:t>
      </w:r>
    </w:p>
    <w:p>
      <w:pPr>
        <w:spacing w:line="480" w:lineRule="exact"/>
        <w:ind w:firstLine="480" w:firstLineChars="200"/>
        <w:rPr>
          <w:rFonts w:ascii="宋体" w:hAnsi="宋体" w:cs="宋体"/>
          <w:sz w:val="24"/>
        </w:rPr>
      </w:pPr>
      <w:r>
        <w:rPr>
          <w:rFonts w:hint="eastAsia" w:ascii="宋体" w:hAnsi="宋体" w:cs="宋体"/>
          <w:sz w:val="24"/>
        </w:rPr>
        <w:t>3）掌握护理基本理论和基本知识，以及一定的基础医学和临床医学知识；</w:t>
      </w:r>
    </w:p>
    <w:p>
      <w:pPr>
        <w:spacing w:line="480" w:lineRule="exact"/>
        <w:ind w:firstLine="480" w:firstLineChars="200"/>
        <w:rPr>
          <w:rFonts w:ascii="宋体" w:hAnsi="宋体" w:cs="宋体"/>
          <w:sz w:val="24"/>
        </w:rPr>
      </w:pPr>
      <w:r>
        <w:rPr>
          <w:rFonts w:hint="eastAsia" w:ascii="宋体" w:hAnsi="宋体" w:cs="宋体"/>
          <w:sz w:val="24"/>
        </w:rPr>
        <w:t>4）掌握生命各阶段各系统常见疾病的概念、病因、发病机理、健康史、身心状况、辅助检查、治疗原则、护理诊断、护理措施及护理评价相关知识；</w:t>
      </w:r>
    </w:p>
    <w:p>
      <w:pPr>
        <w:spacing w:line="480" w:lineRule="exact"/>
        <w:ind w:firstLine="480" w:firstLineChars="200"/>
        <w:rPr>
          <w:rFonts w:ascii="宋体" w:hAnsi="宋体" w:cs="宋体"/>
          <w:sz w:val="24"/>
        </w:rPr>
      </w:pPr>
      <w:r>
        <w:rPr>
          <w:rFonts w:hint="eastAsia" w:ascii="宋体" w:hAnsi="宋体" w:cs="宋体"/>
          <w:sz w:val="24"/>
        </w:rPr>
        <w:t>5）掌握生命各阶段各系统常见疾病的健康教育及健康促进及职业防护相关知识；</w:t>
      </w:r>
    </w:p>
    <w:p>
      <w:pPr>
        <w:spacing w:line="480" w:lineRule="exact"/>
        <w:ind w:firstLine="480" w:firstLineChars="200"/>
        <w:rPr>
          <w:rFonts w:ascii="宋体" w:hAnsi="宋体" w:cs="宋体"/>
          <w:sz w:val="24"/>
        </w:rPr>
      </w:pPr>
      <w:r>
        <w:rPr>
          <w:rFonts w:hint="eastAsia" w:ascii="宋体" w:hAnsi="宋体" w:cs="宋体"/>
          <w:sz w:val="24"/>
        </w:rPr>
        <w:t>6）熟悉社区传染病防治以及突发公共卫生事件应对知识；</w:t>
      </w:r>
    </w:p>
    <w:p>
      <w:pPr>
        <w:spacing w:line="480" w:lineRule="exact"/>
        <w:ind w:firstLine="480" w:firstLineChars="200"/>
        <w:rPr>
          <w:rFonts w:ascii="宋体" w:hAnsi="宋体" w:cs="宋体"/>
          <w:sz w:val="24"/>
        </w:rPr>
      </w:pPr>
      <w:r>
        <w:rPr>
          <w:rFonts w:hint="eastAsia" w:ascii="宋体" w:hAnsi="宋体" w:cs="宋体"/>
          <w:sz w:val="24"/>
        </w:rPr>
        <w:t>7）了解中医、康复及精神科等专科护理知识。</w:t>
      </w:r>
    </w:p>
    <w:p>
      <w:pPr>
        <w:spacing w:line="480" w:lineRule="exact"/>
        <w:ind w:firstLine="480" w:firstLineChars="200"/>
        <w:rPr>
          <w:rFonts w:ascii="宋体" w:hAnsi="宋体" w:cs="宋体"/>
          <w:sz w:val="24"/>
        </w:rPr>
      </w:pPr>
      <w:r>
        <w:rPr>
          <w:rFonts w:hint="eastAsia" w:ascii="宋体" w:hAnsi="宋体" w:cs="宋体"/>
          <w:sz w:val="24"/>
        </w:rPr>
        <w:t>能力：</w:t>
      </w:r>
    </w:p>
    <w:p>
      <w:pPr>
        <w:spacing w:line="480" w:lineRule="exact"/>
        <w:ind w:firstLine="480" w:firstLineChars="200"/>
        <w:rPr>
          <w:rFonts w:ascii="宋体" w:hAnsi="宋体" w:cs="宋体"/>
          <w:sz w:val="24"/>
        </w:rPr>
      </w:pPr>
      <w:r>
        <w:rPr>
          <w:rFonts w:hint="eastAsia" w:ascii="宋体" w:hAnsi="宋体" w:cs="宋体"/>
          <w:sz w:val="24"/>
        </w:rPr>
        <w:t xml:space="preserve">1）具有探究学习、终身学习、分析问题和解决问题的能力； </w:t>
      </w:r>
    </w:p>
    <w:p>
      <w:pPr>
        <w:spacing w:line="480" w:lineRule="exact"/>
        <w:ind w:firstLine="480" w:firstLineChars="200"/>
        <w:rPr>
          <w:rFonts w:ascii="宋体" w:hAnsi="宋体" w:cs="宋体"/>
          <w:sz w:val="24"/>
        </w:rPr>
      </w:pPr>
      <w:r>
        <w:rPr>
          <w:rFonts w:hint="eastAsia" w:ascii="宋体" w:hAnsi="宋体" w:cs="宋体"/>
          <w:sz w:val="24"/>
        </w:rPr>
        <w:t>2）具有良好的语言、文字表达能力和沟通能力；能够对常见疾病的病情变化、治疗效果及药物不良反应进行观察和及时处理的能力；</w:t>
      </w:r>
    </w:p>
    <w:p>
      <w:pPr>
        <w:spacing w:line="480" w:lineRule="exact"/>
        <w:ind w:firstLine="480" w:firstLineChars="200"/>
        <w:rPr>
          <w:rFonts w:ascii="宋体" w:hAnsi="宋体" w:cs="宋体"/>
          <w:sz w:val="24"/>
        </w:rPr>
      </w:pPr>
      <w:r>
        <w:rPr>
          <w:rFonts w:hint="eastAsia" w:ascii="宋体" w:hAnsi="宋体" w:cs="宋体"/>
          <w:sz w:val="24"/>
        </w:rPr>
        <w:t>3）具有为护理对象的身体、心理、社会、文化等方面提供整体评估和整体护理的能力；能够规范地开展急危重症抢救配合，具备应对突发公共卫生事件的紧急救护能力；</w:t>
      </w:r>
    </w:p>
    <w:p>
      <w:pPr>
        <w:spacing w:line="480" w:lineRule="exact"/>
        <w:ind w:firstLine="480" w:firstLineChars="200"/>
        <w:rPr>
          <w:rFonts w:ascii="宋体" w:hAnsi="宋体" w:cs="宋体"/>
          <w:sz w:val="24"/>
        </w:rPr>
      </w:pPr>
      <w:r>
        <w:rPr>
          <w:rFonts w:hint="eastAsia" w:ascii="宋体" w:hAnsi="宋体" w:cs="宋体"/>
          <w:sz w:val="24"/>
        </w:rPr>
        <w:t>4）能够独立进行常见疾病的健康教育和卫生保健指导；</w:t>
      </w:r>
    </w:p>
    <w:p>
      <w:pPr>
        <w:spacing w:line="480" w:lineRule="exact"/>
        <w:ind w:firstLine="480" w:firstLineChars="200"/>
        <w:rPr>
          <w:rFonts w:ascii="宋体" w:hAnsi="宋体" w:cs="宋体"/>
          <w:sz w:val="24"/>
        </w:rPr>
      </w:pPr>
      <w:r>
        <w:rPr>
          <w:rFonts w:hint="eastAsia" w:ascii="宋体" w:hAnsi="宋体" w:cs="宋体"/>
          <w:sz w:val="24"/>
        </w:rPr>
        <w:t>5）具有完整记录护理过程的能力；</w:t>
      </w:r>
    </w:p>
    <w:p>
      <w:pPr>
        <w:spacing w:line="480" w:lineRule="exact"/>
        <w:ind w:firstLine="480" w:firstLineChars="200"/>
        <w:rPr>
          <w:rFonts w:ascii="宋体" w:hAnsi="宋体" w:cs="宋体"/>
          <w:sz w:val="24"/>
        </w:rPr>
      </w:pPr>
      <w:r>
        <w:rPr>
          <w:rFonts w:hint="eastAsia" w:ascii="宋体" w:hAnsi="宋体" w:cs="宋体"/>
          <w:sz w:val="24"/>
        </w:rPr>
        <w:t>6）会正确使用和维护常用仪器设备；</w:t>
      </w:r>
    </w:p>
    <w:p>
      <w:pPr>
        <w:spacing w:line="480" w:lineRule="exact"/>
        <w:ind w:firstLine="480" w:firstLineChars="200"/>
        <w:rPr>
          <w:rFonts w:ascii="宋体" w:hAnsi="宋体" w:cs="宋体"/>
          <w:sz w:val="24"/>
        </w:rPr>
      </w:pPr>
      <w:r>
        <w:rPr>
          <w:rFonts w:hint="eastAsia" w:ascii="宋体" w:hAnsi="宋体" w:cs="宋体"/>
          <w:sz w:val="24"/>
        </w:rPr>
        <w:t>7）具有一定的信息技术应用和维护能力。</w:t>
      </w:r>
    </w:p>
    <w:p>
      <w:pPr>
        <w:spacing w:line="480" w:lineRule="exact"/>
        <w:ind w:firstLine="480"/>
        <w:rPr>
          <w:rFonts w:ascii="宋体" w:hAnsi="宋体"/>
          <w:sz w:val="24"/>
          <w:szCs w:val="24"/>
        </w:rPr>
      </w:pPr>
      <w:r>
        <w:rPr>
          <w:rFonts w:hint="eastAsia" w:ascii="宋体" w:hAnsi="宋体"/>
          <w:sz w:val="24"/>
          <w:szCs w:val="24"/>
        </w:rPr>
        <w:t>3.创新创业。具有创新创业知识、创新创业思维、创新创业精神，岗位创业能力和自主创业意识，具有自主学习、终身学习意识、适应发展的能力。</w:t>
      </w:r>
    </w:p>
    <w:p>
      <w:pPr>
        <w:spacing w:line="480" w:lineRule="exact"/>
        <w:ind w:firstLine="480"/>
        <w:rPr>
          <w:rFonts w:ascii="宋体" w:hAnsi="宋体"/>
          <w:sz w:val="24"/>
          <w:szCs w:val="24"/>
        </w:rPr>
      </w:pPr>
      <w:r>
        <w:rPr>
          <w:rFonts w:hint="eastAsia" w:ascii="宋体" w:hAnsi="宋体"/>
          <w:sz w:val="24"/>
          <w:szCs w:val="24"/>
        </w:rPr>
        <w:t>4.身心健康：具有身体，心理及社会适应能力三者统一的健康状态。</w:t>
      </w:r>
    </w:p>
    <w:p>
      <w:pPr>
        <w:spacing w:line="480" w:lineRule="exact"/>
        <w:ind w:firstLine="480"/>
        <w:rPr>
          <w:rFonts w:ascii="宋体" w:hAnsi="宋体"/>
          <w:sz w:val="24"/>
          <w:szCs w:val="24"/>
        </w:rPr>
      </w:pPr>
    </w:p>
    <w:p>
      <w:pPr>
        <w:pStyle w:val="2"/>
        <w:numPr>
          <w:ilvl w:val="0"/>
          <w:numId w:val="1"/>
        </w:numPr>
        <w:spacing w:before="0" w:after="0" w:line="480" w:lineRule="exact"/>
        <w:rPr>
          <w:rFonts w:ascii="宋体" w:hAnsi="宋体"/>
          <w:sz w:val="28"/>
          <w:szCs w:val="28"/>
        </w:rPr>
      </w:pPr>
      <w:r>
        <w:rPr>
          <w:rFonts w:ascii="宋体" w:hAnsi="宋体"/>
          <w:sz w:val="28"/>
          <w:szCs w:val="28"/>
        </w:rPr>
        <w:t>课程设置及要求</w:t>
      </w:r>
    </w:p>
    <w:p>
      <w:pPr>
        <w:pStyle w:val="2"/>
        <w:spacing w:before="0" w:after="0" w:line="480" w:lineRule="exact"/>
        <w:ind w:firstLine="562" w:firstLineChars="200"/>
        <w:jc w:val="left"/>
        <w:rPr>
          <w:rFonts w:ascii="宋体" w:hAnsi="宋体"/>
          <w:sz w:val="28"/>
          <w:szCs w:val="28"/>
        </w:rPr>
      </w:pPr>
      <w:r>
        <w:rPr>
          <w:rFonts w:hint="eastAsia" w:ascii="宋体" w:hAnsi="宋体"/>
          <w:sz w:val="28"/>
          <w:szCs w:val="28"/>
        </w:rPr>
        <w:t>1.</w:t>
      </w:r>
      <w:r>
        <w:rPr>
          <w:rFonts w:ascii="宋体" w:hAnsi="宋体"/>
          <w:sz w:val="28"/>
          <w:szCs w:val="28"/>
        </w:rPr>
        <w:t>公共基础课程</w:t>
      </w:r>
    </w:p>
    <w:p/>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76"/>
        <w:gridCol w:w="2693"/>
        <w:gridCol w:w="2820"/>
        <w:gridCol w:w="2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75" w:type="dxa"/>
            <w:vAlign w:val="center"/>
          </w:tcPr>
          <w:p>
            <w:pPr>
              <w:pStyle w:val="28"/>
              <w:rPr>
                <w:b/>
                <w:sz w:val="20"/>
              </w:rPr>
            </w:pPr>
            <w:r>
              <w:rPr>
                <w:rFonts w:hint="eastAsia"/>
                <w:b/>
                <w:sz w:val="20"/>
              </w:rPr>
              <w:t>序号</w:t>
            </w:r>
          </w:p>
        </w:tc>
        <w:tc>
          <w:tcPr>
            <w:tcW w:w="708" w:type="dxa"/>
            <w:vAlign w:val="center"/>
          </w:tcPr>
          <w:p>
            <w:pPr>
              <w:pStyle w:val="28"/>
              <w:rPr>
                <w:b/>
                <w:sz w:val="20"/>
              </w:rPr>
            </w:pPr>
            <w:r>
              <w:rPr>
                <w:rFonts w:hint="eastAsia"/>
                <w:b/>
                <w:sz w:val="20"/>
              </w:rPr>
              <w:t>公共基础课</w:t>
            </w:r>
          </w:p>
        </w:tc>
        <w:tc>
          <w:tcPr>
            <w:tcW w:w="2693" w:type="dxa"/>
            <w:vAlign w:val="center"/>
          </w:tcPr>
          <w:p>
            <w:pPr>
              <w:pStyle w:val="28"/>
              <w:ind w:firstLine="360"/>
              <w:rPr>
                <w:b/>
                <w:sz w:val="20"/>
              </w:rPr>
            </w:pPr>
            <w:r>
              <w:rPr>
                <w:rFonts w:hint="eastAsia"/>
                <w:b/>
                <w:sz w:val="20"/>
              </w:rPr>
              <w:t>课程目标</w:t>
            </w:r>
          </w:p>
        </w:tc>
        <w:tc>
          <w:tcPr>
            <w:tcW w:w="2820" w:type="dxa"/>
            <w:vAlign w:val="center"/>
          </w:tcPr>
          <w:p>
            <w:pPr>
              <w:pStyle w:val="28"/>
              <w:ind w:firstLine="360"/>
              <w:rPr>
                <w:b/>
                <w:sz w:val="20"/>
              </w:rPr>
            </w:pPr>
            <w:r>
              <w:rPr>
                <w:rFonts w:hint="eastAsia"/>
                <w:b/>
                <w:sz w:val="20"/>
              </w:rPr>
              <w:t>主要内容</w:t>
            </w:r>
          </w:p>
        </w:tc>
        <w:tc>
          <w:tcPr>
            <w:tcW w:w="0" w:type="auto"/>
            <w:vAlign w:val="center"/>
          </w:tcPr>
          <w:p>
            <w:pPr>
              <w:pStyle w:val="28"/>
              <w:ind w:firstLine="360"/>
              <w:rPr>
                <w:b/>
              </w:rPr>
            </w:pPr>
            <w:r>
              <w:rPr>
                <w:rFonts w:hint="eastAsia"/>
                <w:b/>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75" w:type="dxa"/>
            <w:vAlign w:val="center"/>
          </w:tcPr>
          <w:p>
            <w:pPr>
              <w:pStyle w:val="28"/>
              <w:jc w:val="both"/>
              <w:rPr>
                <w:sz w:val="20"/>
              </w:rPr>
            </w:pPr>
            <w:r>
              <w:rPr>
                <w:rFonts w:hint="eastAsia"/>
                <w:sz w:val="20"/>
              </w:rPr>
              <w:t>1</w:t>
            </w:r>
          </w:p>
        </w:tc>
        <w:tc>
          <w:tcPr>
            <w:tcW w:w="708" w:type="dxa"/>
            <w:vAlign w:val="center"/>
          </w:tcPr>
          <w:p>
            <w:pPr>
              <w:pStyle w:val="28"/>
              <w:jc w:val="both"/>
              <w:rPr>
                <w:sz w:val="20"/>
              </w:rPr>
            </w:pPr>
            <w:r>
              <w:rPr>
                <w:rFonts w:hint="eastAsia"/>
                <w:sz w:val="20"/>
              </w:rPr>
              <w:t>思想道德修养与法律基础</w:t>
            </w:r>
          </w:p>
        </w:tc>
        <w:tc>
          <w:tcPr>
            <w:tcW w:w="2693" w:type="dxa"/>
            <w:vAlign w:val="center"/>
          </w:tcPr>
          <w:p>
            <w:pPr>
              <w:pStyle w:val="28"/>
              <w:ind w:firstLine="360"/>
              <w:rPr>
                <w:sz w:val="20"/>
              </w:rPr>
            </w:pPr>
            <w:r>
              <w:rPr>
                <w:rFonts w:hint="eastAsia"/>
                <w:sz w:val="20"/>
              </w:rPr>
              <w:t>本课程主要目的是从当代大学生面临和关心的实际问题出发，以正确的人生观、价值观、道德观和法制观教育为主线，通过理论学习和实践体验，帮助大学生形成崇高的理想信念，弘扬伟大的爱国主义精神，确立正确的人生观和价值观，牢固树立社会主义核心价值观，培养良好的思想道德素质和法律素质，进一步提高分辨是非、善恶、美丑和加强自我修养的能力，为逐渐成为德、智、体、美全面发展的中国特色社会主义伟大事业的合格建设者和可靠接班人，打下扎实的思想道德和法律基础。</w:t>
            </w:r>
          </w:p>
        </w:tc>
        <w:tc>
          <w:tcPr>
            <w:tcW w:w="2820" w:type="dxa"/>
            <w:vAlign w:val="center"/>
          </w:tcPr>
          <w:p>
            <w:pPr>
              <w:pStyle w:val="28"/>
              <w:ind w:firstLine="360"/>
              <w:rPr>
                <w:sz w:val="20"/>
              </w:rPr>
            </w:pPr>
            <w:r>
              <w:rPr>
                <w:rFonts w:hint="eastAsia"/>
                <w:sz w:val="20"/>
              </w:rPr>
              <w:t>涉及中国梦、理想信念、青春之问、中国精神、道德的重要性等内容。</w:t>
            </w:r>
          </w:p>
        </w:tc>
        <w:tc>
          <w:tcPr>
            <w:tcW w:w="0" w:type="auto"/>
            <w:vAlign w:val="center"/>
          </w:tcPr>
          <w:p>
            <w:pPr>
              <w:pStyle w:val="28"/>
              <w:ind w:firstLine="360"/>
            </w:pPr>
            <w:r>
              <w:rPr>
                <w:rFonts w:hint="eastAsia"/>
              </w:rPr>
              <w:t>这门课程和社会现实的联系非常紧密，必须遵循理论联系实际的原则，让学生在亲身参加各种实践活动。结合各章内容，选择撰写社会实践调查报告、撰写爱国影片观后感、知识比赛、新闻播报等形式开展课堂实践教学，进一步培养和提高学生研究分析、解决实际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75" w:type="dxa"/>
            <w:vAlign w:val="center"/>
          </w:tcPr>
          <w:p>
            <w:pPr>
              <w:pStyle w:val="28"/>
              <w:jc w:val="both"/>
              <w:rPr>
                <w:sz w:val="20"/>
              </w:rPr>
            </w:pPr>
            <w:r>
              <w:rPr>
                <w:rFonts w:hint="eastAsia"/>
                <w:sz w:val="20"/>
              </w:rPr>
              <w:t>2</w:t>
            </w:r>
          </w:p>
        </w:tc>
        <w:tc>
          <w:tcPr>
            <w:tcW w:w="708" w:type="dxa"/>
            <w:vAlign w:val="center"/>
          </w:tcPr>
          <w:p>
            <w:pPr>
              <w:pStyle w:val="28"/>
              <w:jc w:val="both"/>
              <w:rPr>
                <w:sz w:val="20"/>
              </w:rPr>
            </w:pPr>
            <w:r>
              <w:rPr>
                <w:rFonts w:hint="eastAsia"/>
                <w:sz w:val="20"/>
              </w:rPr>
              <w:t>毛泽东思想和中国特色社会主义理论体系</w:t>
            </w:r>
          </w:p>
        </w:tc>
        <w:tc>
          <w:tcPr>
            <w:tcW w:w="2693" w:type="dxa"/>
            <w:vAlign w:val="center"/>
          </w:tcPr>
          <w:p>
            <w:pPr>
              <w:pStyle w:val="28"/>
              <w:ind w:firstLine="360"/>
              <w:rPr>
                <w:sz w:val="20"/>
              </w:rPr>
            </w:pPr>
            <w:r>
              <w:rPr>
                <w:rFonts w:hint="eastAsia"/>
                <w:sz w:val="20"/>
              </w:rPr>
              <w:t>本课程承担着对大学生进行系统的马克思主义理论教育的任务，是巩固马克思主义在高校意识形态领域指导地位、坚持社会主义办学方向的重要阵地，是全面贯彻党的教育方针、落实立德树人根本任务的主干渠道和核心课程，帮助学生系统地掌握毛泽东思想和中国特色社会主义理论体系的基本原理，提高学生运用理论的基本原理、观点和方法使学生打牢大学生成长成才的科学思想基础，引导大学生树立正确的世界观、人生观、价值观。逐渐成为德、智、体、美全面发展的中国特色社会主义伟大事业的合格建设者和可靠接班人。</w:t>
            </w:r>
          </w:p>
        </w:tc>
        <w:tc>
          <w:tcPr>
            <w:tcW w:w="2820" w:type="dxa"/>
            <w:vAlign w:val="center"/>
          </w:tcPr>
          <w:p>
            <w:pPr>
              <w:pStyle w:val="28"/>
              <w:ind w:firstLine="360"/>
              <w:rPr>
                <w:sz w:val="20"/>
              </w:rPr>
            </w:pPr>
            <w:r>
              <w:rPr>
                <w:rFonts w:hint="eastAsia"/>
                <w:sz w:val="20"/>
              </w:rPr>
              <w:t>学习毛泽东思想、邓小平理论、“三个代表”重要思想、科学发展观、习近平新时代中国特色社会主义思想的含义及相关历史背景、意义等。</w:t>
            </w:r>
          </w:p>
        </w:tc>
        <w:tc>
          <w:tcPr>
            <w:tcW w:w="0" w:type="auto"/>
            <w:vAlign w:val="center"/>
          </w:tcPr>
          <w:p>
            <w:pPr>
              <w:pStyle w:val="28"/>
              <w:ind w:firstLine="360"/>
            </w:pPr>
            <w:r>
              <w:rPr>
                <w:rFonts w:hint="eastAsia"/>
              </w:rPr>
              <w:t>毛概课采取理论与实践相结合的方法，也就是实践教学。实践教学有助于全面地考察学生对所学理论知识的理解与掌握程度，并能提高学生运用所学知识、基本原理去分析与解决问题的能力，加深对中国现代化建设实践的认识，有利于实践教学与课堂教学结合，促进思想政治理论课与专业课的有机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75" w:type="dxa"/>
            <w:vAlign w:val="center"/>
          </w:tcPr>
          <w:p>
            <w:pPr>
              <w:pStyle w:val="28"/>
              <w:jc w:val="both"/>
              <w:rPr>
                <w:sz w:val="20"/>
              </w:rPr>
            </w:pPr>
            <w:r>
              <w:rPr>
                <w:rFonts w:hint="eastAsia"/>
                <w:sz w:val="20"/>
              </w:rPr>
              <w:t>3</w:t>
            </w:r>
          </w:p>
        </w:tc>
        <w:tc>
          <w:tcPr>
            <w:tcW w:w="708" w:type="dxa"/>
            <w:vAlign w:val="center"/>
          </w:tcPr>
          <w:p>
            <w:pPr>
              <w:pStyle w:val="28"/>
              <w:ind w:firstLine="360"/>
              <w:rPr>
                <w:rFonts w:hint="eastAsia"/>
                <w:sz w:val="20"/>
              </w:rPr>
            </w:pPr>
            <w:r>
              <w:rPr>
                <w:rFonts w:hint="eastAsia"/>
                <w:sz w:val="20"/>
              </w:rPr>
              <w:t>形势与政策</w:t>
            </w:r>
          </w:p>
        </w:tc>
        <w:tc>
          <w:tcPr>
            <w:tcW w:w="2693" w:type="dxa"/>
            <w:vAlign w:val="center"/>
          </w:tcPr>
          <w:p>
            <w:pPr>
              <w:pStyle w:val="28"/>
              <w:ind w:firstLine="360"/>
              <w:rPr>
                <w:rFonts w:hint="eastAsia"/>
                <w:sz w:val="20"/>
              </w:rPr>
            </w:pPr>
            <w:r>
              <w:rPr>
                <w:rFonts w:hint="eastAsia"/>
                <w:sz w:val="20"/>
              </w:rPr>
              <w:t>通过开展党和国家重大方针政策、重大活动和重大改革措施教育，开展我国改革开放和社会主义现代化建设的形势、任务和发展成就教育，开展当前国际形势与国际关系的状况、发展趋势和我国的对外政策教育，引导大学生遵循正确的观点和科学的方法分析判断形势，全面准确地理解党的路线、方针和政策，不断提高大学生认识把握形势的能力，进而坚定大学生走中国特色社会主义道路的理想信念。</w:t>
            </w:r>
          </w:p>
        </w:tc>
        <w:tc>
          <w:tcPr>
            <w:tcW w:w="2820" w:type="dxa"/>
            <w:vAlign w:val="center"/>
          </w:tcPr>
          <w:p>
            <w:pPr>
              <w:pStyle w:val="28"/>
              <w:ind w:firstLine="360"/>
              <w:rPr>
                <w:rFonts w:hint="eastAsia"/>
                <w:sz w:val="20"/>
              </w:rPr>
            </w:pPr>
            <w:r>
              <w:rPr>
                <w:rFonts w:hint="eastAsia"/>
                <w:sz w:val="20"/>
              </w:rPr>
              <w:t>形势与政策是时效性非常强的一门学科，课堂上都会针对社会的热点问题进行分析讲解。</w:t>
            </w:r>
          </w:p>
        </w:tc>
        <w:tc>
          <w:tcPr>
            <w:tcW w:w="0" w:type="auto"/>
            <w:vAlign w:val="center"/>
          </w:tcPr>
          <w:p>
            <w:pPr>
              <w:pStyle w:val="28"/>
              <w:ind w:firstLine="360"/>
              <w:rPr>
                <w:rFonts w:hint="eastAsia"/>
                <w:sz w:val="20"/>
              </w:rPr>
            </w:pPr>
            <w:r>
              <w:rPr>
                <w:rFonts w:hint="eastAsia"/>
                <w:sz w:val="20"/>
              </w:rPr>
              <w:t>由于《形势与政策》课是一门理论性、知识性和实践性都很强的课程，同时又具有原则性、时效性等特点，因此，要根据课程教学要求和大学生的特点，采取灵活多样的教学形式，包括课堂教学、专题讲座、开展辩论会、社会实践等，社会调查报告、专题讲座相结合，请进来与走出去相结合，课堂教学与课外讨论、交流相结合，正面教育与学生自我教育相结合，大集中与小分散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pStyle w:val="28"/>
              <w:jc w:val="both"/>
              <w:rPr>
                <w:sz w:val="20"/>
              </w:rPr>
            </w:pPr>
            <w:r>
              <w:rPr>
                <w:rFonts w:hint="eastAsia"/>
                <w:sz w:val="20"/>
              </w:rPr>
              <w:t>4</w:t>
            </w:r>
          </w:p>
        </w:tc>
        <w:tc>
          <w:tcPr>
            <w:tcW w:w="708" w:type="dxa"/>
            <w:tcBorders>
              <w:top w:val="single" w:color="auto" w:sz="4" w:space="0"/>
              <w:left w:val="single" w:color="auto" w:sz="4" w:space="0"/>
              <w:bottom w:val="single" w:color="auto" w:sz="4" w:space="0"/>
              <w:right w:val="single" w:color="auto" w:sz="4" w:space="0"/>
            </w:tcBorders>
            <w:vAlign w:val="center"/>
          </w:tcPr>
          <w:p>
            <w:pPr>
              <w:pStyle w:val="28"/>
              <w:jc w:val="both"/>
              <w:rPr>
                <w:sz w:val="20"/>
              </w:rPr>
            </w:pPr>
            <w:r>
              <w:rPr>
                <w:rFonts w:hint="eastAsia"/>
                <w:sz w:val="20"/>
              </w:rPr>
              <w:t>大学英语</w:t>
            </w:r>
          </w:p>
        </w:tc>
        <w:tc>
          <w:tcPr>
            <w:tcW w:w="2693" w:type="dxa"/>
            <w:tcBorders>
              <w:top w:val="single" w:color="auto" w:sz="4" w:space="0"/>
              <w:left w:val="single" w:color="auto" w:sz="4" w:space="0"/>
              <w:bottom w:val="single" w:color="auto" w:sz="4" w:space="0"/>
              <w:right w:val="single" w:color="auto" w:sz="4" w:space="0"/>
            </w:tcBorders>
            <w:vAlign w:val="center"/>
          </w:tcPr>
          <w:p>
            <w:pPr>
              <w:pStyle w:val="28"/>
              <w:ind w:firstLine="360"/>
              <w:rPr>
                <w:sz w:val="20"/>
              </w:rPr>
            </w:pPr>
            <w:r>
              <w:rPr>
                <w:rFonts w:hint="eastAsia"/>
                <w:sz w:val="20"/>
              </w:rPr>
              <w:t>该课程属基本素质课，旨在让学生熟悉掌握日常生活中经常使用的英语基础知识与书面用语，具备一定的英语思维习惯，能够进行基本的日常交际会话；在加强英语语言基础知识和基本技能的同时，了解职场语言文化知识和通用的职场沟通技能，以交际为目的，培养学生的社会适应性、提高其自主学习能力、就业能力，满足学生初入职场的实际需求，为将来的就业工作做好充分准备。</w:t>
            </w:r>
          </w:p>
        </w:tc>
        <w:tc>
          <w:tcPr>
            <w:tcW w:w="2820" w:type="dxa"/>
            <w:tcBorders>
              <w:top w:val="single" w:color="auto" w:sz="4" w:space="0"/>
              <w:left w:val="single" w:color="auto" w:sz="4" w:space="0"/>
              <w:bottom w:val="single" w:color="auto" w:sz="4" w:space="0"/>
              <w:right w:val="single" w:color="auto" w:sz="4" w:space="0"/>
            </w:tcBorders>
            <w:vAlign w:val="center"/>
          </w:tcPr>
          <w:p>
            <w:pPr>
              <w:pStyle w:val="28"/>
              <w:ind w:firstLine="360"/>
              <w:rPr>
                <w:sz w:val="20"/>
              </w:rPr>
            </w:pPr>
            <w:r>
              <w:rPr>
                <w:rFonts w:hint="eastAsia"/>
                <w:sz w:val="20"/>
              </w:rPr>
              <w:t>注重实用性和适用性，偏向日常生活交际与工作场景，如适应大学生活、交友、购物、点餐、问路与指路、科技与网络、东西方文化禁忌与风俗习惯等；技能方面则会涉及自我介绍与介绍他人；电子邮件、通知的发布与回复；预定表、行程安排表等的填写与制定；产品或景点的介绍与讲解；商务交往与餐桌礼仪等；另外还会涉及一定的英语考试知识与训练以及解题技巧，如高等学校英语应用能力考试（AB级）、大学英语四级等。</w:t>
            </w:r>
          </w:p>
        </w:tc>
        <w:tc>
          <w:tcPr>
            <w:tcW w:w="0" w:type="auto"/>
            <w:tcBorders>
              <w:top w:val="single" w:color="auto" w:sz="4" w:space="0"/>
              <w:left w:val="single" w:color="auto" w:sz="4" w:space="0"/>
              <w:bottom w:val="single" w:color="auto" w:sz="4" w:space="0"/>
              <w:right w:val="single" w:color="auto" w:sz="4" w:space="0"/>
            </w:tcBorders>
            <w:vAlign w:val="center"/>
          </w:tcPr>
          <w:p>
            <w:pPr>
              <w:pStyle w:val="28"/>
              <w:ind w:firstLine="360"/>
            </w:pPr>
            <w:r>
              <w:rPr>
                <w:rFonts w:hint="eastAsia"/>
              </w:rPr>
              <w:t>具有较扎实的英语语言基础知识，能顺利阅读语言难度中等的一般性题材的文章，并能进行一定的分析、推理和判断，领会作者的观点和态度；能描述个人经历、观感、情感和发生的事件等；能写符合格式要求的常见的应用文，以及掌握有基本的写作技能；具有一定的口语表达能力，敢于展现自我的自信；能结合所学英语知识和文化背景，进行符合英语语言和思维习惯的日常会话交际。</w:t>
            </w:r>
          </w:p>
          <w:p>
            <w:pPr>
              <w:pStyle w:val="28"/>
              <w:ind w:firstLine="3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pStyle w:val="28"/>
              <w:jc w:val="both"/>
              <w:rPr>
                <w:sz w:val="20"/>
              </w:rPr>
            </w:pPr>
            <w:r>
              <w:rPr>
                <w:rFonts w:hint="eastAsia"/>
                <w:sz w:val="20"/>
              </w:rPr>
              <w:t>5</w:t>
            </w:r>
          </w:p>
        </w:tc>
        <w:tc>
          <w:tcPr>
            <w:tcW w:w="708" w:type="dxa"/>
            <w:tcBorders>
              <w:top w:val="single" w:color="auto" w:sz="4" w:space="0"/>
              <w:left w:val="single" w:color="auto" w:sz="4" w:space="0"/>
              <w:bottom w:val="single" w:color="auto" w:sz="4" w:space="0"/>
              <w:right w:val="single" w:color="auto" w:sz="4" w:space="0"/>
            </w:tcBorders>
            <w:vAlign w:val="center"/>
          </w:tcPr>
          <w:p>
            <w:pPr>
              <w:pStyle w:val="28"/>
              <w:ind w:firstLine="360"/>
              <w:jc w:val="left"/>
              <w:rPr>
                <w:sz w:val="20"/>
              </w:rPr>
            </w:pPr>
            <w:r>
              <w:rPr>
                <w:rFonts w:hint="eastAsia"/>
                <w:sz w:val="20"/>
              </w:rPr>
              <w:t>计算机基础</w:t>
            </w:r>
          </w:p>
        </w:tc>
        <w:tc>
          <w:tcPr>
            <w:tcW w:w="2693" w:type="dxa"/>
            <w:tcBorders>
              <w:top w:val="single" w:color="auto" w:sz="4" w:space="0"/>
              <w:left w:val="single" w:color="auto" w:sz="4" w:space="0"/>
              <w:bottom w:val="single" w:color="auto" w:sz="4" w:space="0"/>
              <w:right w:val="single" w:color="auto" w:sz="4" w:space="0"/>
            </w:tcBorders>
            <w:vAlign w:val="center"/>
          </w:tcPr>
          <w:p>
            <w:pPr>
              <w:pStyle w:val="28"/>
              <w:ind w:firstLine="360"/>
              <w:jc w:val="left"/>
              <w:rPr>
                <w:sz w:val="20"/>
              </w:rPr>
            </w:pPr>
            <w:r>
              <w:rPr>
                <w:rFonts w:hint="eastAsia"/>
                <w:sz w:val="20"/>
              </w:rPr>
              <w:t>本课程是培养学生计算机应用的能力，提高学生的计算机应用素养，为后续的信息化和文献检索课程和专业课程的学习打下必备的计算机基础知识和技能。</w:t>
            </w:r>
          </w:p>
        </w:tc>
        <w:tc>
          <w:tcPr>
            <w:tcW w:w="2820" w:type="dxa"/>
            <w:tcBorders>
              <w:top w:val="single" w:color="auto" w:sz="4" w:space="0"/>
              <w:left w:val="single" w:color="auto" w:sz="4" w:space="0"/>
              <w:bottom w:val="single" w:color="auto" w:sz="4" w:space="0"/>
              <w:right w:val="single" w:color="auto" w:sz="4" w:space="0"/>
            </w:tcBorders>
            <w:vAlign w:val="center"/>
          </w:tcPr>
          <w:p>
            <w:pPr>
              <w:pStyle w:val="28"/>
              <w:ind w:firstLine="360"/>
              <w:jc w:val="left"/>
              <w:rPr>
                <w:sz w:val="20"/>
              </w:rPr>
            </w:pPr>
            <w:r>
              <w:rPr>
                <w:rFonts w:hint="eastAsia"/>
                <w:sz w:val="20"/>
              </w:rPr>
              <w:t>1.计算机基础知识</w:t>
            </w:r>
          </w:p>
          <w:p>
            <w:pPr>
              <w:pStyle w:val="28"/>
              <w:ind w:firstLine="360"/>
              <w:jc w:val="left"/>
              <w:rPr>
                <w:sz w:val="20"/>
              </w:rPr>
            </w:pPr>
            <w:r>
              <w:rPr>
                <w:rFonts w:hint="eastAsia"/>
                <w:sz w:val="20"/>
              </w:rPr>
              <w:t>2.windows7操作系统</w:t>
            </w:r>
          </w:p>
          <w:p>
            <w:pPr>
              <w:pStyle w:val="28"/>
              <w:ind w:firstLine="360"/>
              <w:jc w:val="left"/>
              <w:rPr>
                <w:sz w:val="20"/>
              </w:rPr>
            </w:pPr>
            <w:r>
              <w:rPr>
                <w:rFonts w:hint="eastAsia"/>
                <w:sz w:val="20"/>
              </w:rPr>
              <w:t>3.Microsoft Word 2010的操作</w:t>
            </w:r>
          </w:p>
          <w:p>
            <w:pPr>
              <w:pStyle w:val="28"/>
              <w:ind w:firstLine="360"/>
              <w:jc w:val="left"/>
              <w:rPr>
                <w:sz w:val="20"/>
              </w:rPr>
            </w:pPr>
            <w:r>
              <w:rPr>
                <w:rFonts w:hint="eastAsia"/>
                <w:sz w:val="20"/>
              </w:rPr>
              <w:t>4.Microsoft Excel 2010的操作</w:t>
            </w:r>
          </w:p>
          <w:p>
            <w:pPr>
              <w:pStyle w:val="28"/>
              <w:ind w:firstLine="360"/>
              <w:jc w:val="left"/>
              <w:rPr>
                <w:sz w:val="20"/>
              </w:rPr>
            </w:pPr>
            <w:r>
              <w:rPr>
                <w:rFonts w:hint="eastAsia"/>
                <w:sz w:val="20"/>
              </w:rPr>
              <w:t>5.Microsoft PPT 2010的操作</w:t>
            </w:r>
          </w:p>
          <w:p>
            <w:pPr>
              <w:pStyle w:val="28"/>
              <w:ind w:firstLine="360"/>
              <w:jc w:val="left"/>
              <w:rPr>
                <w:sz w:val="20"/>
              </w:rPr>
            </w:pPr>
            <w:r>
              <w:rPr>
                <w:rFonts w:hint="eastAsia"/>
                <w:sz w:val="20"/>
              </w:rPr>
              <w:t>6.计算机网络应用</w:t>
            </w:r>
          </w:p>
        </w:tc>
        <w:tc>
          <w:tcPr>
            <w:tcW w:w="0" w:type="auto"/>
            <w:tcBorders>
              <w:top w:val="single" w:color="auto" w:sz="4" w:space="0"/>
              <w:left w:val="single" w:color="auto" w:sz="4" w:space="0"/>
              <w:bottom w:val="single" w:color="auto" w:sz="4" w:space="0"/>
              <w:right w:val="single" w:color="auto" w:sz="4" w:space="0"/>
            </w:tcBorders>
            <w:vAlign w:val="center"/>
          </w:tcPr>
          <w:p>
            <w:pPr>
              <w:pStyle w:val="28"/>
              <w:ind w:firstLine="360"/>
              <w:jc w:val="left"/>
              <w:rPr>
                <w:rFonts w:hint="eastAsia"/>
                <w:sz w:val="20"/>
              </w:rPr>
            </w:pPr>
            <w:r>
              <w:rPr>
                <w:rFonts w:hint="eastAsia"/>
                <w:sz w:val="20"/>
              </w:rPr>
              <w:t>本课程要求掌握计算机的基本结构、熟练掌握计算机的基本操作技能，能熟练运用计算机进行文字、表格和幻灯片制作与处理的能力，具有初步的Internet使用能力，掌握一定的计算机安全知识，形成一定的计算机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pStyle w:val="28"/>
              <w:jc w:val="both"/>
              <w:rPr>
                <w:sz w:val="20"/>
              </w:rPr>
            </w:pPr>
            <w:r>
              <w:rPr>
                <w:rFonts w:hint="eastAsia"/>
                <w:sz w:val="20"/>
              </w:rPr>
              <w:t>6</w:t>
            </w:r>
          </w:p>
        </w:tc>
        <w:tc>
          <w:tcPr>
            <w:tcW w:w="708" w:type="dxa"/>
            <w:tcBorders>
              <w:top w:val="single" w:color="auto" w:sz="4" w:space="0"/>
              <w:left w:val="single" w:color="auto" w:sz="4" w:space="0"/>
              <w:bottom w:val="single" w:color="auto" w:sz="4" w:space="0"/>
              <w:right w:val="single" w:color="auto" w:sz="4" w:space="0"/>
            </w:tcBorders>
            <w:vAlign w:val="center"/>
          </w:tcPr>
          <w:p>
            <w:pPr>
              <w:pStyle w:val="28"/>
              <w:ind w:firstLine="360"/>
              <w:jc w:val="left"/>
              <w:rPr>
                <w:sz w:val="20"/>
              </w:rPr>
            </w:pPr>
            <w:r>
              <w:rPr>
                <w:rFonts w:hint="eastAsia"/>
                <w:sz w:val="20"/>
              </w:rPr>
              <w:t>医学文献检索文献检索和信息技术</w:t>
            </w:r>
          </w:p>
        </w:tc>
        <w:tc>
          <w:tcPr>
            <w:tcW w:w="2693" w:type="dxa"/>
            <w:tcBorders>
              <w:top w:val="single" w:color="auto" w:sz="4" w:space="0"/>
              <w:left w:val="single" w:color="auto" w:sz="4" w:space="0"/>
              <w:bottom w:val="single" w:color="auto" w:sz="4" w:space="0"/>
              <w:right w:val="single" w:color="auto" w:sz="4" w:space="0"/>
            </w:tcBorders>
            <w:vAlign w:val="center"/>
          </w:tcPr>
          <w:p>
            <w:pPr>
              <w:pStyle w:val="28"/>
              <w:ind w:firstLine="360"/>
              <w:rPr>
                <w:sz w:val="20"/>
              </w:rPr>
            </w:pPr>
            <w:r>
              <w:rPr>
                <w:rFonts w:hint="eastAsia" w:ascii="仿宋" w:hAnsi="仿宋" w:cs="仿宋"/>
                <w:color w:val="auto"/>
                <w:kern w:val="2"/>
                <w:sz w:val="20"/>
                <w:szCs w:val="30"/>
              </w:rPr>
              <w:t>本课程的课程目标是使学生了解医学专业文献的基本知识，熟悉医学文献信息数据库、检索工具的特点及检索方法，尤其是网上医学相关文献信息资源的分布及检索方法，学会常用的手工文献检索工具、计算机文献检索工具的使用方法，懂得如何获得与利用文献情报，增强自学能力和研究能力，为其将来从事医学科研工作以及实现知识更新的继续教育奠定一个良好的基础。</w:t>
            </w:r>
          </w:p>
        </w:tc>
        <w:tc>
          <w:tcPr>
            <w:tcW w:w="2820" w:type="dxa"/>
            <w:tcBorders>
              <w:top w:val="single" w:color="auto" w:sz="4" w:space="0"/>
              <w:left w:val="single" w:color="auto" w:sz="4" w:space="0"/>
              <w:bottom w:val="single" w:color="auto" w:sz="4" w:space="0"/>
              <w:right w:val="single" w:color="auto" w:sz="4" w:space="0"/>
            </w:tcBorders>
            <w:vAlign w:val="center"/>
          </w:tcPr>
          <w:p>
            <w:pPr>
              <w:pStyle w:val="28"/>
              <w:ind w:firstLine="360"/>
              <w:rPr>
                <w:rFonts w:hint="eastAsia"/>
                <w:sz w:val="20"/>
              </w:rPr>
            </w:pPr>
            <w:r>
              <w:rPr>
                <w:rFonts w:hint="eastAsia" w:ascii="仿宋" w:hAnsi="仿宋" w:eastAsia="宋体"/>
                <w:color w:val="333333"/>
                <w:spacing w:val="0"/>
                <w:sz w:val="20"/>
                <w:shd w:val="clear" w:color="auto" w:fill="FFFFFF"/>
              </w:rPr>
              <w:t>本课程主要讲授医学信息、检索语言、检索途径、检索系统与检索策略的基本原理、方法；计算机网络信息检索的基本原理、方法及数据库；医学信息检索理论与技术的最新进展等内容，培养学生熟练运用计算机网络检索系统和数据库，全面、快捷、准确地检索医学信息，更新医学知识，了解医学发展最新动态和前沿课题。</w:t>
            </w:r>
          </w:p>
          <w:p>
            <w:pPr>
              <w:pStyle w:val="28"/>
              <w:ind w:firstLine="360"/>
              <w:rPr>
                <w:sz w:val="20"/>
              </w:rPr>
            </w:pPr>
          </w:p>
        </w:tc>
        <w:tc>
          <w:tcPr>
            <w:tcW w:w="0" w:type="auto"/>
            <w:tcBorders>
              <w:top w:val="single" w:color="auto" w:sz="4" w:space="0"/>
              <w:left w:val="single" w:color="auto" w:sz="4" w:space="0"/>
              <w:bottom w:val="single" w:color="auto" w:sz="4" w:space="0"/>
              <w:right w:val="single" w:color="auto" w:sz="4" w:space="0"/>
            </w:tcBorders>
            <w:vAlign w:val="center"/>
          </w:tcPr>
          <w:p>
            <w:pPr>
              <w:pStyle w:val="28"/>
              <w:ind w:firstLine="360"/>
              <w:rPr>
                <w:rFonts w:hint="eastAsia"/>
                <w:sz w:val="20"/>
              </w:rPr>
            </w:pPr>
            <w:r>
              <w:rPr>
                <w:rFonts w:hint="eastAsia" w:ascii="仿宋" w:hAnsi="仿宋" w:eastAsia="宋体"/>
                <w:color w:val="auto"/>
                <w:spacing w:val="0"/>
                <w:sz w:val="20"/>
                <w:shd w:val="clear" w:color="auto" w:fill="auto"/>
              </w:rPr>
              <w:t>医学文献检索课是培养医学生的信息意识，使学生掌握信息检索技能，提高其获取、分析和利用信息资源的能力的一门方法课。本课程的开设，要求学生了解医学文献和信息检索的基础知识和基本原理，熟悉国内外常用的医学信息检索系统的结构和检索原理，熟练掌握检索技巧，为快速、准确、全面地获取中外文医学信息打下基础。</w:t>
            </w:r>
          </w:p>
        </w:tc>
      </w:tr>
    </w:tbl>
    <w:p>
      <w:pPr>
        <w:tabs>
          <w:tab w:val="right" w:pos="9070"/>
        </w:tabs>
        <w:adjustRightInd w:val="0"/>
        <w:snapToGrid w:val="0"/>
        <w:spacing w:line="480" w:lineRule="exact"/>
        <w:ind w:firstLine="480" w:firstLineChars="200"/>
        <w:rPr>
          <w:rFonts w:hint="eastAsia" w:cs="Times New Roman"/>
          <w:color w:val="000000"/>
          <w:sz w:val="24"/>
        </w:rPr>
      </w:pPr>
      <w:r>
        <w:rPr>
          <w:rFonts w:hint="eastAsia" w:cs="Times New Roman"/>
          <w:color w:val="000000"/>
          <w:sz w:val="24"/>
        </w:rPr>
        <w:t>2.专业基础课程主要包括人体形态结构、生理学、生物化学、病理学与病理生理学、病原生物学与免疫学、药理学、护理学导论等。</w:t>
      </w:r>
    </w:p>
    <w:p>
      <w:pPr>
        <w:tabs>
          <w:tab w:val="right" w:pos="9070"/>
        </w:tabs>
        <w:adjustRightInd w:val="0"/>
        <w:snapToGrid w:val="0"/>
        <w:spacing w:line="480" w:lineRule="exact"/>
        <w:ind w:firstLine="480" w:firstLineChars="200"/>
        <w:rPr>
          <w:rFonts w:hint="eastAsia" w:cs="Times New Roman"/>
          <w:color w:val="000000"/>
          <w:sz w:val="24"/>
        </w:rPr>
      </w:pPr>
    </w:p>
    <w:p>
      <w:pPr>
        <w:tabs>
          <w:tab w:val="right" w:pos="9070"/>
        </w:tabs>
        <w:adjustRightInd w:val="0"/>
        <w:snapToGrid w:val="0"/>
        <w:spacing w:line="480" w:lineRule="exact"/>
        <w:ind w:firstLine="480" w:firstLineChars="200"/>
        <w:rPr>
          <w:rFonts w:hint="eastAsia" w:cs="Times New Roman"/>
          <w:color w:val="000000"/>
          <w:sz w:val="24"/>
        </w:rPr>
      </w:pPr>
    </w:p>
    <w:p>
      <w:pPr>
        <w:tabs>
          <w:tab w:val="right" w:pos="9070"/>
        </w:tabs>
        <w:adjustRightInd w:val="0"/>
        <w:snapToGrid w:val="0"/>
        <w:spacing w:line="480" w:lineRule="exact"/>
        <w:ind w:firstLine="480" w:firstLineChars="200"/>
        <w:rPr>
          <w:rFonts w:hint="eastAsia" w:cs="Times New Roman"/>
          <w:color w:val="000000"/>
          <w:sz w:val="24"/>
        </w:rPr>
      </w:pPr>
    </w:p>
    <w:p>
      <w:pPr>
        <w:spacing w:line="480" w:lineRule="exact"/>
        <w:ind w:firstLine="480"/>
        <w:rPr>
          <w:rFonts w:ascii="宋体" w:hAnsi="宋体"/>
          <w:sz w:val="24"/>
          <w:szCs w:val="24"/>
          <w:u w:val="single"/>
        </w:rPr>
      </w:pPr>
      <w:r>
        <w:rPr>
          <w:rFonts w:hint="eastAsia" w:ascii="宋体" w:hAnsi="宋体"/>
          <w:sz w:val="24"/>
          <w:szCs w:val="24"/>
        </w:rPr>
        <w:t>3.专业课程</w:t>
      </w:r>
    </w:p>
    <w:tbl>
      <w:tblPr>
        <w:tblStyle w:val="12"/>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1376"/>
        <w:gridCol w:w="2409"/>
        <w:gridCol w:w="1911"/>
        <w:gridCol w:w="2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11" w:type="dxa"/>
            <w:vAlign w:val="center"/>
          </w:tcPr>
          <w:p>
            <w:pPr>
              <w:overflowPunct w:val="0"/>
              <w:adjustRightInd w:val="0"/>
              <w:spacing w:line="340" w:lineRule="exact"/>
              <w:jc w:val="center"/>
              <w:rPr>
                <w:rFonts w:ascii="宋体" w:hAnsi="宋体"/>
                <w:b/>
              </w:rPr>
            </w:pPr>
            <w:r>
              <w:rPr>
                <w:rFonts w:hint="eastAsia" w:ascii="宋体" w:hAnsi="宋体"/>
                <w:b/>
              </w:rPr>
              <w:t>序号</w:t>
            </w:r>
          </w:p>
        </w:tc>
        <w:tc>
          <w:tcPr>
            <w:tcW w:w="1376" w:type="dxa"/>
            <w:vAlign w:val="center"/>
          </w:tcPr>
          <w:p>
            <w:pPr>
              <w:overflowPunct w:val="0"/>
              <w:adjustRightInd w:val="0"/>
              <w:spacing w:line="340" w:lineRule="exact"/>
              <w:ind w:firstLine="422"/>
              <w:jc w:val="center"/>
              <w:rPr>
                <w:rFonts w:ascii="宋体" w:hAnsi="宋体"/>
                <w:b/>
              </w:rPr>
            </w:pPr>
            <w:r>
              <w:rPr>
                <w:rFonts w:hint="eastAsia" w:ascii="宋体" w:hAnsi="宋体"/>
                <w:b/>
              </w:rPr>
              <w:t>专业课程</w:t>
            </w:r>
          </w:p>
        </w:tc>
        <w:tc>
          <w:tcPr>
            <w:tcW w:w="2409" w:type="dxa"/>
            <w:vAlign w:val="center"/>
          </w:tcPr>
          <w:p>
            <w:pPr>
              <w:overflowPunct w:val="0"/>
              <w:adjustRightInd w:val="0"/>
              <w:spacing w:line="340" w:lineRule="exact"/>
              <w:ind w:firstLine="422"/>
              <w:jc w:val="center"/>
              <w:rPr>
                <w:rFonts w:ascii="宋体" w:hAnsi="宋体"/>
                <w:b/>
              </w:rPr>
            </w:pPr>
            <w:r>
              <w:rPr>
                <w:rFonts w:hint="eastAsia" w:ascii="宋体" w:hAnsi="宋体"/>
                <w:b/>
              </w:rPr>
              <w:t>课程目标</w:t>
            </w:r>
          </w:p>
        </w:tc>
        <w:tc>
          <w:tcPr>
            <w:tcW w:w="1911" w:type="dxa"/>
            <w:vAlign w:val="center"/>
          </w:tcPr>
          <w:p>
            <w:pPr>
              <w:overflowPunct w:val="0"/>
              <w:adjustRightInd w:val="0"/>
              <w:spacing w:line="340" w:lineRule="exact"/>
              <w:ind w:firstLine="422"/>
              <w:jc w:val="center"/>
              <w:rPr>
                <w:rFonts w:ascii="宋体" w:hAnsi="宋体"/>
                <w:b/>
              </w:rPr>
            </w:pPr>
            <w:r>
              <w:rPr>
                <w:rFonts w:ascii="宋体" w:hAnsi="宋体"/>
                <w:b/>
              </w:rPr>
              <w:t>主要内容</w:t>
            </w:r>
          </w:p>
        </w:tc>
        <w:tc>
          <w:tcPr>
            <w:tcW w:w="2216" w:type="dxa"/>
            <w:vAlign w:val="center"/>
          </w:tcPr>
          <w:p>
            <w:pPr>
              <w:overflowPunct w:val="0"/>
              <w:adjustRightInd w:val="0"/>
              <w:spacing w:line="340" w:lineRule="exact"/>
              <w:ind w:firstLine="422"/>
              <w:jc w:val="center"/>
              <w:rPr>
                <w:rFonts w:ascii="宋体" w:hAnsi="宋体"/>
                <w:b/>
              </w:rPr>
            </w:pPr>
            <w:r>
              <w:rPr>
                <w:rFonts w:ascii="宋体" w:hAnsi="宋体"/>
                <w:b/>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1" w:type="dxa"/>
            <w:vAlign w:val="center"/>
          </w:tcPr>
          <w:p>
            <w:pPr>
              <w:overflowPunct w:val="0"/>
              <w:adjustRightInd w:val="0"/>
              <w:spacing w:line="340" w:lineRule="exact"/>
              <w:ind w:firstLine="420"/>
              <w:jc w:val="center"/>
              <w:rPr>
                <w:rFonts w:ascii="宋体" w:hAnsi="宋体"/>
              </w:rPr>
            </w:pPr>
            <w:r>
              <w:rPr>
                <w:rFonts w:hint="eastAsia" w:ascii="宋体" w:hAnsi="宋体"/>
              </w:rPr>
              <w:t>1</w:t>
            </w:r>
          </w:p>
        </w:tc>
        <w:tc>
          <w:tcPr>
            <w:tcW w:w="1376" w:type="dxa"/>
            <w:vAlign w:val="center"/>
          </w:tcPr>
          <w:p>
            <w:pPr>
              <w:overflowPunct w:val="0"/>
              <w:adjustRightInd w:val="0"/>
              <w:spacing w:line="340" w:lineRule="exact"/>
              <w:ind w:firstLine="420"/>
              <w:jc w:val="center"/>
              <w:rPr>
                <w:rFonts w:ascii="宋体" w:hAnsi="宋体"/>
              </w:rPr>
            </w:pPr>
            <w:r>
              <w:rPr>
                <w:rFonts w:hint="eastAsia" w:ascii="宋体" w:hAnsi="宋体"/>
              </w:rPr>
              <w:t>基础护理</w:t>
            </w:r>
          </w:p>
        </w:tc>
        <w:tc>
          <w:tcPr>
            <w:tcW w:w="2409" w:type="dxa"/>
            <w:vAlign w:val="center"/>
          </w:tcPr>
          <w:p>
            <w:pPr>
              <w:overflowPunct w:val="0"/>
              <w:adjustRightInd w:val="0"/>
              <w:spacing w:line="340" w:lineRule="exact"/>
              <w:rPr>
                <w:rFonts w:ascii="宋体" w:hAnsi="宋体"/>
              </w:rPr>
            </w:pPr>
            <w:r>
              <w:rPr>
                <w:rFonts w:hint="eastAsia" w:ascii="宋体" w:hAnsi="宋体"/>
              </w:rPr>
              <w:t>学生通过本课程的学习，对护理学的学科框架有所了解，掌握护理学基础的基本知识，基本技能，逐步具备专业素质，树立专业思想，形成以评判性思维、护理决策和护理程序为基准点的科学的思维方式和工作方法。对理论的学习要求涉猎面广泛，注重对相关人文知识的了解和领悟；通过案例导入、情境模拟以及技能的反复练习等方式使学生可以熟练掌握相关知识和技能。</w:t>
            </w:r>
          </w:p>
        </w:tc>
        <w:tc>
          <w:tcPr>
            <w:tcW w:w="1911" w:type="dxa"/>
            <w:vAlign w:val="center"/>
          </w:tcPr>
          <w:p>
            <w:pPr>
              <w:overflowPunct w:val="0"/>
              <w:adjustRightInd w:val="0"/>
              <w:spacing w:line="340" w:lineRule="exact"/>
              <w:rPr>
                <w:rFonts w:ascii="宋体" w:hAnsi="宋体"/>
              </w:rPr>
            </w:pPr>
            <w:r>
              <w:rPr>
                <w:rFonts w:hint="eastAsia" w:ascii="宋体" w:hAnsi="宋体"/>
              </w:rPr>
              <w:t>本课程主要内容是：医院和住院环境、患者入院和出院的护理、舒适与安全护理、医院感染的预防与控制、患者的清洁卫生、生命体征的观察与护理、饮食护理、排泄护理、给药、药物过敏试验、输血、冷、热疗法、危重患者的观察和抢救、临终患者的护理、病案管理和护理文书的书写；通过学习使学生获得满足护理对象生理、心理和治疗需要的护理的基本理念、基本知识及基本技能，学生可以熟练进行各项技能的操作，并在操作中始终严格执行无菌操作、查对制度和消毒隔离制度，加强与病人的沟通.</w:t>
            </w:r>
          </w:p>
        </w:tc>
        <w:tc>
          <w:tcPr>
            <w:tcW w:w="2216" w:type="dxa"/>
            <w:vAlign w:val="center"/>
          </w:tcPr>
          <w:p>
            <w:pPr>
              <w:overflowPunct w:val="0"/>
              <w:adjustRightInd w:val="0"/>
              <w:spacing w:line="340" w:lineRule="exact"/>
              <w:rPr>
                <w:rFonts w:ascii="宋体" w:hAnsi="宋体"/>
              </w:rPr>
            </w:pPr>
            <w:r>
              <w:rPr>
                <w:rFonts w:hint="eastAsia" w:ascii="宋体" w:hAnsi="宋体"/>
              </w:rPr>
              <w:t>本课程同步采用国家统编教材</w:t>
            </w:r>
            <w:r>
              <w:rPr>
                <w:rFonts w:ascii="宋体" w:hAnsi="宋体"/>
              </w:rPr>
              <w:t>，帮助学生学习护理的基本理论、基础知识和操作技能，同时培养学生基本的临床思维能力、独立思考能力、人际沟通能力，以及发现、分析和解决问题的能力，为后期学习临床护理课程和日后走上工作岗位，为服务对象提供整体护理打下坚实的知识、技术和能力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1" w:type="dxa"/>
            <w:vAlign w:val="center"/>
          </w:tcPr>
          <w:p>
            <w:pPr>
              <w:overflowPunct w:val="0"/>
              <w:adjustRightInd w:val="0"/>
              <w:spacing w:line="340" w:lineRule="exact"/>
              <w:ind w:firstLine="420"/>
              <w:jc w:val="center"/>
              <w:rPr>
                <w:rFonts w:ascii="宋体" w:hAnsi="宋体"/>
              </w:rPr>
            </w:pPr>
            <w:r>
              <w:rPr>
                <w:rFonts w:hint="eastAsia" w:ascii="宋体" w:hAnsi="宋体"/>
              </w:rPr>
              <w:t>2</w:t>
            </w:r>
          </w:p>
        </w:tc>
        <w:tc>
          <w:tcPr>
            <w:tcW w:w="1376" w:type="dxa"/>
            <w:vAlign w:val="center"/>
          </w:tcPr>
          <w:p>
            <w:pPr>
              <w:overflowPunct w:val="0"/>
              <w:adjustRightInd w:val="0"/>
              <w:spacing w:line="340" w:lineRule="exact"/>
              <w:ind w:firstLine="420"/>
              <w:jc w:val="center"/>
              <w:rPr>
                <w:rFonts w:ascii="宋体" w:hAnsi="宋体"/>
              </w:rPr>
            </w:pPr>
            <w:r>
              <w:rPr>
                <w:rFonts w:hint="eastAsia" w:ascii="宋体" w:hAnsi="宋体"/>
              </w:rPr>
              <w:t>内科护理学</w:t>
            </w:r>
          </w:p>
        </w:tc>
        <w:tc>
          <w:tcPr>
            <w:tcW w:w="2409" w:type="dxa"/>
            <w:vAlign w:val="center"/>
          </w:tcPr>
          <w:p>
            <w:pPr>
              <w:overflowPunct w:val="0"/>
              <w:adjustRightInd w:val="0"/>
              <w:spacing w:line="340" w:lineRule="exact"/>
              <w:rPr>
                <w:rFonts w:ascii="宋体" w:hAnsi="宋体"/>
              </w:rPr>
            </w:pPr>
            <w:r>
              <w:rPr>
                <w:rFonts w:hint="eastAsia"/>
              </w:rPr>
              <w:t>学生通过本课程学习，能全面、系统地学习与掌握内科疾病的基础理论、基本知识和基本技能。能够说明内科各系统常见疾病的病因、发病机制及处理原则；识别内科各系统常见疾病的临床表现和主要并发症；描述内科常见危急重症患者的主要抢救措施和常用仪器设备的使用要求；说明内科常用诊疗操作技术的步骤及配合要求；医院护理程序为内科常见疾病患者制定护理计划；为内科常见疾病患者及家属提供健康教育。学生能正确进行内科疾病的症状评估和病史采集、能制定正确、恰当的护理措施，并能进行科学的健康教育。具有良好的沟通能力与发现、分析和解决问题的评判性护理思维能力；具有理论联系实际解决临床护理问题的能力；具有初步的护理教育和研究能力。</w:t>
            </w:r>
          </w:p>
        </w:tc>
        <w:tc>
          <w:tcPr>
            <w:tcW w:w="1911" w:type="dxa"/>
            <w:vAlign w:val="center"/>
          </w:tcPr>
          <w:p>
            <w:pPr>
              <w:overflowPunct w:val="0"/>
              <w:adjustRightInd w:val="0"/>
              <w:spacing w:line="340" w:lineRule="exact"/>
              <w:rPr>
                <w:rFonts w:ascii="宋体" w:hAnsi="宋体"/>
              </w:rPr>
            </w:pPr>
            <w:r>
              <w:rPr>
                <w:rFonts w:hint="eastAsia"/>
              </w:rPr>
              <w:t>本课程主要内容是：内科各系统（呼吸系统、循环系统、消化系统、泌尿系统、血液疾病，内分泌代谢疾病，风湿疾病及神经系统）常见疾病的护理，通过学习，学生能较为全面和系统地掌握内科常见疾病的概念、病因、发病机理、健康史、身心状况、辅助检查、治疗原则护理诊断、护理措施和护理评价；掌握内科护理专科护理技术，运用护理程序对患者实施整体护理，以达到减轻痛苦，恢复和保持健康</w:t>
            </w:r>
          </w:p>
        </w:tc>
        <w:tc>
          <w:tcPr>
            <w:tcW w:w="2216" w:type="dxa"/>
            <w:vAlign w:val="center"/>
          </w:tcPr>
          <w:p>
            <w:pPr>
              <w:overflowPunct w:val="0"/>
              <w:adjustRightInd w:val="0"/>
              <w:spacing w:line="340" w:lineRule="exact"/>
              <w:rPr>
                <w:rFonts w:ascii="宋体" w:hAnsi="宋体"/>
              </w:rPr>
            </w:pPr>
            <w:r>
              <w:rPr>
                <w:rFonts w:hint="eastAsia"/>
              </w:rPr>
              <w:t>本课程采用多媒体板书结合的方式授课，灵活采用讲授式、启发式、PBL教学等多种教学方法，辅以录像、录音、现场模拟示教等多种信息化教学手段进行理论教学。实践教学和临床见习要求学生提前预习做好准备工作，认真完成相应内容的训练；着装及言行举止符合专业规范；认真练习，准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1" w:type="dxa"/>
            <w:vAlign w:val="center"/>
          </w:tcPr>
          <w:p>
            <w:pPr>
              <w:overflowPunct w:val="0"/>
              <w:adjustRightInd w:val="0"/>
              <w:spacing w:line="340" w:lineRule="exact"/>
              <w:ind w:firstLine="420"/>
              <w:jc w:val="center"/>
              <w:rPr>
                <w:rFonts w:ascii="宋体" w:hAnsi="宋体"/>
              </w:rPr>
            </w:pPr>
            <w:r>
              <w:rPr>
                <w:rFonts w:hint="eastAsia" w:ascii="宋体" w:hAnsi="宋体"/>
              </w:rPr>
              <w:t>3</w:t>
            </w:r>
          </w:p>
        </w:tc>
        <w:tc>
          <w:tcPr>
            <w:tcW w:w="1376" w:type="dxa"/>
            <w:vAlign w:val="center"/>
          </w:tcPr>
          <w:p>
            <w:pPr>
              <w:overflowPunct w:val="0"/>
              <w:adjustRightInd w:val="0"/>
              <w:spacing w:line="340" w:lineRule="exact"/>
              <w:ind w:firstLine="420"/>
              <w:jc w:val="center"/>
              <w:rPr>
                <w:rFonts w:ascii="宋体" w:hAnsi="宋体"/>
              </w:rPr>
            </w:pPr>
            <w:r>
              <w:rPr>
                <w:rFonts w:hint="eastAsia" w:ascii="宋体" w:hAnsi="宋体"/>
              </w:rPr>
              <w:t>外科护理</w:t>
            </w:r>
          </w:p>
        </w:tc>
        <w:tc>
          <w:tcPr>
            <w:tcW w:w="2409" w:type="dxa"/>
            <w:vAlign w:val="center"/>
          </w:tcPr>
          <w:p>
            <w:pPr>
              <w:overflowPunct w:val="0"/>
              <w:adjustRightInd w:val="0"/>
              <w:spacing w:line="340" w:lineRule="exact"/>
              <w:rPr>
                <w:rFonts w:ascii="宋体" w:hAnsi="宋体"/>
              </w:rPr>
            </w:pPr>
            <w:r>
              <w:rPr>
                <w:rFonts w:hint="eastAsia"/>
              </w:rPr>
              <w:t>学生通过本课程的学习，了解外科常见病、多方的病因和病理，熟悉外科常见病、多发病的临床特点和处理原则，能运用护理程序对外科病人进行评估、提出护理诊断/问题、制定护理措施，并为病人提供临床护理和健康教育；同时熟悉外科急危重症病人的抢救和配合。注重培养学生的自主学习能力、发现、分析和解决问题的能力，临床思维能力、应变能力、沟通能力和科研能力。</w:t>
            </w:r>
          </w:p>
        </w:tc>
        <w:tc>
          <w:tcPr>
            <w:tcW w:w="1911" w:type="dxa"/>
          </w:tcPr>
          <w:p>
            <w:r>
              <w:rPr>
                <w:rFonts w:hint="eastAsia"/>
              </w:rPr>
              <w:t>本课程主要内容是：外科各系统（普外科、病神经外科、心胸外科、泌尿外科、骨外科）常见疾病的护理，通过学习，学生能较为全面和系统地掌握外科常见疾病的概念、病因、发病机理、健康史、身心状况、辅助检查、治疗原则护理诊断、护理措施和护理评价；熟悉外科常见急、危、重症疾病的观察和急救技术，熟悉外科常见损伤的分类各种麻醉、麻醉用药、手术方法、围手术期护理、了解外科护理的新动向、新进展。具备外科护士必备的职业能力和良好的职业素养。</w:t>
            </w:r>
          </w:p>
        </w:tc>
        <w:tc>
          <w:tcPr>
            <w:tcW w:w="2216" w:type="dxa"/>
            <w:vAlign w:val="center"/>
          </w:tcPr>
          <w:p>
            <w:pPr>
              <w:overflowPunct w:val="0"/>
              <w:adjustRightInd w:val="0"/>
              <w:spacing w:line="340" w:lineRule="exact"/>
              <w:rPr>
                <w:rFonts w:ascii="宋体" w:hAnsi="宋体"/>
              </w:rPr>
            </w:pPr>
            <w:r>
              <w:rPr>
                <w:rFonts w:hint="eastAsia" w:ascii="宋体" w:hAnsi="宋体"/>
              </w:rPr>
              <w:t>针对系统性疾病要求学生从解剖、生理等基础一一回顾，然后进入临床专业知识的学习，让学生对系统性疾病的认识更深刻。要求学生掌握常见病的临床表现、护理评估、护理诊断、护理措施和健康评估，常见病病人的病情观察及健康宣教，能够运用专业知识对护理对象进行健康评估，具有分析和解决临床常见护理问题的综合能力；能够运用护理程序，对外科病人实施整理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1" w:type="dxa"/>
            <w:vAlign w:val="center"/>
          </w:tcPr>
          <w:p>
            <w:pPr>
              <w:overflowPunct w:val="0"/>
              <w:adjustRightInd w:val="0"/>
              <w:spacing w:line="340" w:lineRule="exact"/>
              <w:ind w:firstLine="420"/>
              <w:jc w:val="center"/>
              <w:rPr>
                <w:rFonts w:ascii="宋体" w:hAnsi="宋体"/>
              </w:rPr>
            </w:pPr>
            <w:r>
              <w:rPr>
                <w:rFonts w:hint="eastAsia" w:ascii="宋体" w:hAnsi="宋体"/>
              </w:rPr>
              <w:t>4</w:t>
            </w:r>
          </w:p>
        </w:tc>
        <w:tc>
          <w:tcPr>
            <w:tcW w:w="1376" w:type="dxa"/>
            <w:vAlign w:val="center"/>
          </w:tcPr>
          <w:p>
            <w:pPr>
              <w:overflowPunct w:val="0"/>
              <w:adjustRightInd w:val="0"/>
              <w:spacing w:line="340" w:lineRule="exact"/>
              <w:ind w:firstLine="420"/>
              <w:jc w:val="center"/>
              <w:rPr>
                <w:rFonts w:ascii="宋体" w:hAnsi="宋体"/>
              </w:rPr>
            </w:pPr>
            <w:r>
              <w:rPr>
                <w:rFonts w:hint="eastAsia" w:ascii="宋体" w:hAnsi="宋体"/>
              </w:rPr>
              <w:t>妇产科护理</w:t>
            </w:r>
          </w:p>
        </w:tc>
        <w:tc>
          <w:tcPr>
            <w:tcW w:w="2409" w:type="dxa"/>
            <w:vAlign w:val="center"/>
          </w:tcPr>
          <w:p>
            <w:pPr>
              <w:overflowPunct w:val="0"/>
              <w:adjustRightInd w:val="0"/>
              <w:spacing w:line="340" w:lineRule="exact"/>
              <w:rPr>
                <w:rFonts w:ascii="宋体" w:hAnsi="宋体"/>
              </w:rPr>
            </w:pPr>
            <w:r>
              <w:rPr>
                <w:rFonts w:hint="eastAsia" w:ascii="宋体" w:hAnsi="宋体"/>
              </w:rPr>
              <w:t>学生通过本课程的学习，了解外科常见病、多方的病因和病理，熟悉外科常见病、多发病的临床特点和处理原则，能运用护理程序对外科病人进行评估、提出护理诊断/问题、制定护理措施，并为病人提供临床护理和健康教育；同时熟悉外科急危重症病人的抢救和配合。注重培养学生的自主学习能力、发现、分析和解决问题的能力，临床思维能力、应变能力、沟通能力和科研能力。</w:t>
            </w:r>
          </w:p>
        </w:tc>
        <w:tc>
          <w:tcPr>
            <w:tcW w:w="1911" w:type="dxa"/>
          </w:tcPr>
          <w:p>
            <w:pPr>
              <w:widowControl/>
              <w:jc w:val="left"/>
              <w:rPr>
                <w:rFonts w:ascii="宋体" w:hAnsi="宋体"/>
              </w:rPr>
            </w:pPr>
            <w:r>
              <w:rPr>
                <w:rFonts w:hint="eastAsia" w:ascii="宋体" w:hAnsi="宋体"/>
              </w:rPr>
              <w:t>本课程主要内容是：外科各系统（普外科、病神经外科、心胸外科、泌尿外科、骨外科）常见疾病的护理，通过学习，学生能较为全面和系统地掌握外科常见疾病的概念、病因、发病机理、健康史、身心状况、辅助检查、治疗原则护理诊断、护理措施和护理评价；熟悉外科常见急、危、重症疾病的观察和急救技术，熟悉外科常见损伤的分类各种麻醉、麻醉用药、手术方法、围手术期护理、了解外科护理的新动向、新进展。具备外科护士必备的职业能力和良好的职业素养</w:t>
            </w:r>
          </w:p>
        </w:tc>
        <w:tc>
          <w:tcPr>
            <w:tcW w:w="2216" w:type="dxa"/>
            <w:vAlign w:val="center"/>
          </w:tcPr>
          <w:p>
            <w:pPr>
              <w:overflowPunct w:val="0"/>
              <w:adjustRightInd w:val="0"/>
              <w:spacing w:line="340" w:lineRule="exact"/>
              <w:rPr>
                <w:rFonts w:ascii="宋体" w:hAnsi="宋体"/>
              </w:rPr>
            </w:pPr>
            <w:r>
              <w:rPr>
                <w:rFonts w:hint="eastAsia" w:ascii="宋体" w:hAnsi="宋体"/>
              </w:rPr>
              <w:t>针对系统性疾病要求学生从解剖、生理等基础一一回顾，然后进入临床专业知识的学习，让学生对系统性疾病的认识更深刻。要求学生掌握常见病的临床表现、护理评估、护理诊断、护理措施和健康评估，常见病病人的病情观察及健康宣教，能够运用专业知识对护理对象进行健康评估，具有分析和解决临床常见护理问题的综合能力；能够运用护理程序，对外科病人实施整理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1" w:type="dxa"/>
            <w:vAlign w:val="center"/>
          </w:tcPr>
          <w:p>
            <w:pPr>
              <w:overflowPunct w:val="0"/>
              <w:adjustRightInd w:val="0"/>
              <w:spacing w:line="340" w:lineRule="exact"/>
              <w:ind w:firstLine="420"/>
              <w:jc w:val="center"/>
              <w:rPr>
                <w:rFonts w:ascii="宋体" w:hAnsi="宋体"/>
              </w:rPr>
            </w:pPr>
            <w:r>
              <w:rPr>
                <w:rFonts w:hint="eastAsia" w:ascii="宋体" w:hAnsi="宋体"/>
              </w:rPr>
              <w:t>5</w:t>
            </w:r>
          </w:p>
        </w:tc>
        <w:tc>
          <w:tcPr>
            <w:tcW w:w="1376" w:type="dxa"/>
            <w:vAlign w:val="center"/>
          </w:tcPr>
          <w:p>
            <w:pPr>
              <w:overflowPunct w:val="0"/>
              <w:adjustRightInd w:val="0"/>
              <w:spacing w:line="340" w:lineRule="exact"/>
              <w:ind w:firstLine="420"/>
              <w:jc w:val="center"/>
              <w:rPr>
                <w:rFonts w:ascii="宋体" w:hAnsi="宋体"/>
              </w:rPr>
            </w:pPr>
            <w:r>
              <w:rPr>
                <w:rFonts w:hint="eastAsia" w:ascii="宋体" w:hAnsi="宋体"/>
              </w:rPr>
              <w:t>儿科护理</w:t>
            </w:r>
          </w:p>
        </w:tc>
        <w:tc>
          <w:tcPr>
            <w:tcW w:w="2409" w:type="dxa"/>
            <w:vAlign w:val="center"/>
          </w:tcPr>
          <w:p>
            <w:pPr>
              <w:overflowPunct w:val="0"/>
              <w:adjustRightInd w:val="0"/>
              <w:spacing w:line="340" w:lineRule="exact"/>
              <w:rPr>
                <w:rFonts w:ascii="宋体" w:hAnsi="宋体"/>
              </w:rPr>
            </w:pPr>
            <w:r>
              <w:rPr>
                <w:rFonts w:hint="eastAsia" w:ascii="宋体" w:hAnsi="宋体"/>
              </w:rPr>
              <w:t>学生通过本课程的学习，要求护生树立“以儿童的健康为中心”的整理护理理念，具备良好的职业素质及儿科护理的专业知识和技能。能对儿科常见病、多发病以及一般急症、重症患儿具有一定的评估能力、并能采取相应的护理措施，为其今后从事临床护理工作奠定扎实的专业基础。</w:t>
            </w:r>
          </w:p>
        </w:tc>
        <w:tc>
          <w:tcPr>
            <w:tcW w:w="1911" w:type="dxa"/>
          </w:tcPr>
          <w:p>
            <w:pPr>
              <w:rPr>
                <w:rFonts w:ascii="宋体" w:hAnsi="宋体"/>
              </w:rPr>
            </w:pPr>
            <w:r>
              <w:rPr>
                <w:rFonts w:hint="eastAsia" w:ascii="宋体" w:hAnsi="宋体"/>
              </w:rPr>
              <w:t>本课程主要内容是：儿科各系统常见疾病的护理，通过学习，学生能较为全面和系统地掌握正常新生儿的特点和儿童保健、生活护理和健康教育，小儿神经、心理、行为发育评估方法及小儿生长发育监测、免疫接种；掌握儿科常见疾病的概念、病因、发病机理、健康史、身心状况、辅助检查、治疗原则护理诊断、护理措施和护理评价；</w:t>
            </w:r>
          </w:p>
        </w:tc>
        <w:tc>
          <w:tcPr>
            <w:tcW w:w="2216" w:type="dxa"/>
            <w:vAlign w:val="center"/>
          </w:tcPr>
          <w:p>
            <w:pPr>
              <w:overflowPunct w:val="0"/>
              <w:adjustRightInd w:val="0"/>
              <w:spacing w:line="340" w:lineRule="exact"/>
              <w:rPr>
                <w:rFonts w:ascii="宋体" w:hAnsi="宋体"/>
              </w:rPr>
            </w:pPr>
            <w:r>
              <w:rPr>
                <w:rFonts w:hint="eastAsia" w:ascii="宋体" w:hAnsi="宋体"/>
              </w:rPr>
              <w:t>将学生的能力培养作为教学的核心，以护理程序为主线，着重介绍儿科护理学的基本理论、基础知识和基本技能，培养学生的临床思维能力、沟通能力、操作能力。在传统理论授课、实操课的基础上，开展线上、线下混合式教学，采用TBL、EBL等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1" w:type="dxa"/>
            <w:vAlign w:val="center"/>
          </w:tcPr>
          <w:p>
            <w:pPr>
              <w:overflowPunct w:val="0"/>
              <w:adjustRightInd w:val="0"/>
              <w:spacing w:line="340" w:lineRule="exact"/>
              <w:ind w:firstLine="420"/>
              <w:jc w:val="center"/>
              <w:rPr>
                <w:rFonts w:ascii="宋体" w:hAnsi="宋体"/>
              </w:rPr>
            </w:pPr>
            <w:r>
              <w:rPr>
                <w:rFonts w:hint="eastAsia" w:ascii="宋体" w:hAnsi="宋体"/>
              </w:rPr>
              <w:t>6</w:t>
            </w:r>
          </w:p>
        </w:tc>
        <w:tc>
          <w:tcPr>
            <w:tcW w:w="1376" w:type="dxa"/>
            <w:vAlign w:val="center"/>
          </w:tcPr>
          <w:p>
            <w:pPr>
              <w:overflowPunct w:val="0"/>
              <w:adjustRightInd w:val="0"/>
              <w:spacing w:line="340" w:lineRule="exact"/>
              <w:rPr>
                <w:rFonts w:ascii="宋体" w:hAnsi="宋体"/>
              </w:rPr>
            </w:pPr>
            <w:r>
              <w:rPr>
                <w:rFonts w:hint="eastAsia" w:ascii="宋体" w:hAnsi="宋体"/>
              </w:rPr>
              <w:t>健康评估</w:t>
            </w:r>
          </w:p>
        </w:tc>
        <w:tc>
          <w:tcPr>
            <w:tcW w:w="2409" w:type="dxa"/>
            <w:vAlign w:val="center"/>
          </w:tcPr>
          <w:p>
            <w:pPr>
              <w:overflowPunct w:val="0"/>
              <w:adjustRightInd w:val="0"/>
              <w:spacing w:line="340" w:lineRule="exact"/>
              <w:rPr>
                <w:rFonts w:ascii="宋体" w:hAnsi="宋体"/>
              </w:rPr>
            </w:pPr>
            <w:r>
              <w:rPr>
                <w:rFonts w:hint="eastAsia" w:ascii="宋体" w:hAnsi="宋体" w:cs="宋体"/>
              </w:rPr>
              <w:t>学生通过本课程的学习，能够熟练掌握症状评估、体格检查、心理评估、行为评估、社会评估的流程和方法。熟悉临床常用实验室检查的标本采集方法和指标的正常范围以及异常指标的临床意义。</w:t>
            </w:r>
          </w:p>
        </w:tc>
        <w:tc>
          <w:tcPr>
            <w:tcW w:w="1911" w:type="dxa"/>
            <w:vAlign w:val="center"/>
          </w:tcPr>
          <w:p>
            <w:pPr>
              <w:overflowPunct w:val="0"/>
              <w:adjustRightInd w:val="0"/>
              <w:spacing w:line="340" w:lineRule="exact"/>
              <w:rPr>
                <w:rFonts w:ascii="宋体" w:hAnsi="宋体"/>
              </w:rPr>
            </w:pPr>
            <w:r>
              <w:rPr>
                <w:rFonts w:ascii="宋体" w:hAnsi="宋体" w:cs="宋体"/>
              </w:rPr>
              <w:t>运用护理程序方法，对病人进行身体、心理、社会方面的健康资料收集、记录，学会运用正确的思维导向对资料进行分析和整理，作出健康评估；运用正确的护理病史采集及常用护理体检的方法，熟悉常见异常体征的临床意义；了解心电图基本常识，各波段的意义，并正确进行心电图描记；运用常用实验室检查的标本采集方法，说出正常参考值及其临床意义；指导病人配合常用医疗辅助检查。</w:t>
            </w:r>
          </w:p>
        </w:tc>
        <w:tc>
          <w:tcPr>
            <w:tcW w:w="2216" w:type="dxa"/>
            <w:vAlign w:val="center"/>
          </w:tcPr>
          <w:p>
            <w:pPr>
              <w:overflowPunct w:val="0"/>
              <w:adjustRightInd w:val="0"/>
              <w:spacing w:line="340" w:lineRule="exact"/>
              <w:rPr>
                <w:rFonts w:ascii="宋体" w:hAnsi="宋体"/>
              </w:rPr>
            </w:pPr>
            <w:r>
              <w:rPr>
                <w:rFonts w:hint="eastAsia" w:ascii="宋体" w:hAnsi="宋体" w:cs="宋体"/>
              </w:rPr>
              <w:t>通过以上内容的学习帮助学生建立科学的临床护理评估思维方法、发现其中有价值的诊断线索、病情观察线索，提出护理问题并能配合医疗诊断；该课程结合模型、图片、临床案例、移动教学平台资源进行讲解。</w:t>
            </w:r>
          </w:p>
        </w:tc>
      </w:tr>
    </w:tbl>
    <w:p/>
    <w:p>
      <w:pPr>
        <w:shd w:val="clear" w:color="auto" w:fill="FFFFFF"/>
        <w:spacing w:line="360" w:lineRule="auto"/>
        <w:ind w:firstLine="435"/>
        <w:rPr>
          <w:rFonts w:ascii="Times New Roman" w:hAnsi="Times New Roman"/>
          <w:color w:val="000000"/>
          <w:kern w:val="0"/>
          <w:sz w:val="24"/>
          <w:szCs w:val="24"/>
        </w:rPr>
      </w:pPr>
      <w:r>
        <w:rPr>
          <w:rFonts w:hint="eastAsia" w:ascii="宋体" w:hAnsi="宋体" w:cs="宋体"/>
          <w:bCs/>
          <w:sz w:val="24"/>
          <w:szCs w:val="24"/>
        </w:rPr>
        <w:t>4.实践课。</w:t>
      </w:r>
      <w:r>
        <w:rPr>
          <w:rFonts w:hint="eastAsia" w:ascii="Times New Roman" w:hAnsi="Times New Roman"/>
          <w:color w:val="000000"/>
          <w:kern w:val="0"/>
          <w:sz w:val="24"/>
          <w:szCs w:val="24"/>
        </w:rPr>
        <w:t>主要包括毕业实习课程。</w:t>
      </w:r>
    </w:p>
    <w:p>
      <w:pPr>
        <w:tabs>
          <w:tab w:val="right" w:pos="9070"/>
        </w:tabs>
        <w:adjustRightInd w:val="0"/>
        <w:snapToGrid w:val="0"/>
        <w:spacing w:line="480" w:lineRule="exact"/>
        <w:ind w:firstLine="480" w:firstLineChars="200"/>
        <w:rPr>
          <w:rFonts w:cs="Times New Roman"/>
          <w:color w:val="000000"/>
          <w:sz w:val="24"/>
        </w:rPr>
      </w:pPr>
      <w:r>
        <w:rPr>
          <w:rFonts w:hint="eastAsia" w:cs="Times New Roman"/>
          <w:color w:val="000000"/>
          <w:sz w:val="24"/>
        </w:rPr>
        <w:t>包括专业见习及专业教育（含职业素养）、毕业轮科实习等课程。</w:t>
      </w:r>
    </w:p>
    <w:p>
      <w:pPr>
        <w:tabs>
          <w:tab w:val="right" w:pos="9070"/>
        </w:tabs>
        <w:adjustRightInd w:val="0"/>
        <w:snapToGrid w:val="0"/>
        <w:spacing w:line="480" w:lineRule="exact"/>
        <w:ind w:firstLine="480" w:firstLineChars="200"/>
        <w:rPr>
          <w:rFonts w:cs="Times New Roman"/>
          <w:color w:val="000000"/>
          <w:sz w:val="24"/>
        </w:rPr>
      </w:pPr>
    </w:p>
    <w:p>
      <w:pPr>
        <w:tabs>
          <w:tab w:val="right" w:pos="9070"/>
        </w:tabs>
        <w:adjustRightInd w:val="0"/>
        <w:snapToGrid w:val="0"/>
        <w:spacing w:line="480" w:lineRule="exact"/>
        <w:ind w:firstLine="480" w:firstLineChars="200"/>
        <w:rPr>
          <w:rFonts w:cs="Times New Roman"/>
          <w:color w:val="000000"/>
          <w:sz w:val="24"/>
        </w:rPr>
      </w:pPr>
    </w:p>
    <w:p>
      <w:pPr>
        <w:tabs>
          <w:tab w:val="right" w:pos="9070"/>
        </w:tabs>
        <w:adjustRightInd w:val="0"/>
        <w:snapToGrid w:val="0"/>
        <w:spacing w:line="480" w:lineRule="exact"/>
        <w:ind w:firstLine="480" w:firstLineChars="200"/>
        <w:rPr>
          <w:rFonts w:cs="Times New Roman"/>
          <w:color w:val="000000"/>
          <w:sz w:val="24"/>
        </w:rPr>
      </w:pPr>
    </w:p>
    <w:p>
      <w:pPr>
        <w:pStyle w:val="2"/>
        <w:spacing w:before="0" w:after="0" w:line="480" w:lineRule="exact"/>
        <w:ind w:firstLine="562" w:firstLineChars="200"/>
        <w:rPr>
          <w:rFonts w:ascii="宋体" w:hAnsi="宋体"/>
          <w:sz w:val="28"/>
          <w:szCs w:val="28"/>
        </w:rPr>
      </w:pPr>
      <w:r>
        <w:rPr>
          <w:rFonts w:hint="eastAsia" w:ascii="宋体" w:hAnsi="宋体"/>
          <w:sz w:val="28"/>
          <w:szCs w:val="28"/>
        </w:rPr>
        <w:t>六、教学进程安排表</w:t>
      </w:r>
    </w:p>
    <w:p>
      <w:pPr>
        <w:jc w:val="center"/>
        <w:rPr>
          <w:rFonts w:ascii="黑体" w:hAnsi="宋体" w:eastAsia="黑体" w:cs="黑体"/>
          <w:kern w:val="0"/>
          <w:sz w:val="28"/>
          <w:szCs w:val="28"/>
        </w:rPr>
      </w:pPr>
      <w:r>
        <w:rPr>
          <w:rFonts w:ascii="黑体" w:hAnsi="宋体" w:eastAsia="黑体" w:cs="黑体"/>
          <w:kern w:val="0"/>
          <w:sz w:val="28"/>
          <w:szCs w:val="28"/>
        </w:rPr>
        <w:t>202</w:t>
      </w:r>
      <w:r>
        <w:rPr>
          <w:rFonts w:hint="eastAsia" w:ascii="黑体" w:hAnsi="宋体" w:eastAsia="黑体" w:cs="黑体"/>
          <w:kern w:val="0"/>
          <w:sz w:val="28"/>
          <w:szCs w:val="28"/>
        </w:rPr>
        <w:t>1级护理专业教学进程安排表</w:t>
      </w:r>
    </w:p>
    <w:tbl>
      <w:tblPr>
        <w:tblStyle w:val="12"/>
        <w:tblW w:w="977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493"/>
        <w:gridCol w:w="2557"/>
        <w:gridCol w:w="737"/>
        <w:gridCol w:w="737"/>
        <w:gridCol w:w="576"/>
        <w:gridCol w:w="500"/>
        <w:gridCol w:w="579"/>
        <w:gridCol w:w="491"/>
        <w:gridCol w:w="491"/>
        <w:gridCol w:w="492"/>
        <w:gridCol w:w="492"/>
        <w:gridCol w:w="493"/>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Merge w:val="restart"/>
            <w:vAlign w:val="center"/>
          </w:tcPr>
          <w:p>
            <w:pPr>
              <w:jc w:val="center"/>
              <w:rPr>
                <w:rFonts w:ascii="黑体" w:hAnsi="新宋体" w:eastAsia="黑体"/>
                <w:b/>
                <w:bCs/>
              </w:rPr>
            </w:pPr>
            <w:r>
              <w:rPr>
                <w:rFonts w:hint="eastAsia" w:ascii="黑体" w:hAnsi="新宋体" w:eastAsia="黑体" w:cs="黑体"/>
                <w:b/>
                <w:bCs/>
              </w:rPr>
              <w:t>课程类别</w:t>
            </w:r>
          </w:p>
        </w:tc>
        <w:tc>
          <w:tcPr>
            <w:tcW w:w="493" w:type="dxa"/>
            <w:vMerge w:val="restart"/>
            <w:vAlign w:val="center"/>
          </w:tcPr>
          <w:p>
            <w:pPr>
              <w:jc w:val="center"/>
              <w:rPr>
                <w:b/>
                <w:bCs/>
              </w:rPr>
            </w:pPr>
            <w:r>
              <w:rPr>
                <w:rFonts w:hint="eastAsia" w:cs="宋体"/>
                <w:b/>
                <w:bCs/>
              </w:rPr>
              <w:t>序号</w:t>
            </w:r>
          </w:p>
        </w:tc>
        <w:tc>
          <w:tcPr>
            <w:tcW w:w="2557" w:type="dxa"/>
            <w:vMerge w:val="restart"/>
            <w:vAlign w:val="center"/>
          </w:tcPr>
          <w:p>
            <w:pPr>
              <w:jc w:val="center"/>
              <w:rPr>
                <w:b/>
                <w:bCs/>
              </w:rPr>
            </w:pPr>
            <w:r>
              <w:rPr>
                <w:rFonts w:hint="eastAsia" w:cs="宋体"/>
                <w:b/>
                <w:bCs/>
              </w:rPr>
              <w:t>课程名称</w:t>
            </w:r>
          </w:p>
        </w:tc>
        <w:tc>
          <w:tcPr>
            <w:tcW w:w="737" w:type="dxa"/>
            <w:vMerge w:val="restart"/>
          </w:tcPr>
          <w:p>
            <w:pPr>
              <w:jc w:val="center"/>
              <w:rPr>
                <w:b/>
                <w:bCs/>
              </w:rPr>
            </w:pPr>
          </w:p>
          <w:p>
            <w:pPr>
              <w:jc w:val="center"/>
              <w:rPr>
                <w:b/>
                <w:bCs/>
              </w:rPr>
            </w:pPr>
          </w:p>
          <w:p>
            <w:pPr>
              <w:jc w:val="center"/>
              <w:rPr>
                <w:b/>
                <w:bCs/>
              </w:rPr>
            </w:pPr>
          </w:p>
          <w:p>
            <w:pPr>
              <w:jc w:val="center"/>
              <w:rPr>
                <w:b/>
                <w:bCs/>
              </w:rPr>
            </w:pPr>
            <w:r>
              <w:rPr>
                <w:rFonts w:hint="eastAsia"/>
                <w:b/>
                <w:bCs/>
              </w:rPr>
              <w:t>学分</w:t>
            </w:r>
          </w:p>
          <w:p>
            <w:pPr>
              <w:jc w:val="center"/>
              <w:rPr>
                <w:b/>
                <w:bCs/>
              </w:rPr>
            </w:pPr>
          </w:p>
          <w:p>
            <w:pPr>
              <w:rPr>
                <w:b/>
                <w:bCs/>
              </w:rPr>
            </w:pPr>
          </w:p>
        </w:tc>
        <w:tc>
          <w:tcPr>
            <w:tcW w:w="2392" w:type="dxa"/>
            <w:gridSpan w:val="4"/>
            <w:vAlign w:val="center"/>
          </w:tcPr>
          <w:p>
            <w:pPr>
              <w:jc w:val="center"/>
              <w:rPr>
                <w:b/>
                <w:bCs/>
              </w:rPr>
            </w:pPr>
            <w:r>
              <w:rPr>
                <w:rFonts w:hint="eastAsia" w:cs="宋体"/>
                <w:b/>
                <w:bCs/>
              </w:rPr>
              <w:t>学时数</w:t>
            </w:r>
          </w:p>
        </w:tc>
        <w:tc>
          <w:tcPr>
            <w:tcW w:w="2459" w:type="dxa"/>
            <w:gridSpan w:val="5"/>
            <w:vMerge w:val="restart"/>
            <w:vAlign w:val="center"/>
          </w:tcPr>
          <w:p>
            <w:pPr>
              <w:jc w:val="center"/>
              <w:rPr>
                <w:rFonts w:cs="宋体"/>
                <w:b/>
                <w:bCs/>
              </w:rPr>
            </w:pPr>
            <w:r>
              <w:rPr>
                <w:rFonts w:hint="eastAsia" w:cs="宋体"/>
                <w:b/>
                <w:bCs/>
              </w:rPr>
              <w:t>各学期面授学时安排</w:t>
            </w:r>
          </w:p>
        </w:tc>
        <w:tc>
          <w:tcPr>
            <w:tcW w:w="646" w:type="dxa"/>
            <w:vMerge w:val="restart"/>
            <w:vAlign w:val="center"/>
          </w:tcPr>
          <w:p>
            <w:pPr>
              <w:jc w:val="center"/>
              <w:rPr>
                <w:b/>
                <w:bCs/>
              </w:rPr>
            </w:pPr>
            <w:r>
              <w:rPr>
                <w:rFonts w:hint="eastAsia" w:cs="宋体"/>
                <w:b/>
                <w:bCs/>
                <w:sz w:val="20"/>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Merge w:val="continue"/>
          </w:tcPr>
          <w:p>
            <w:pPr>
              <w:rPr>
                <w:rFonts w:ascii="黑体" w:eastAsia="黑体"/>
                <w:b/>
                <w:bCs/>
              </w:rPr>
            </w:pPr>
          </w:p>
        </w:tc>
        <w:tc>
          <w:tcPr>
            <w:tcW w:w="493" w:type="dxa"/>
            <w:vMerge w:val="continue"/>
          </w:tcPr>
          <w:p>
            <w:pPr>
              <w:rPr>
                <w:sz w:val="18"/>
                <w:szCs w:val="18"/>
              </w:rPr>
            </w:pPr>
          </w:p>
        </w:tc>
        <w:tc>
          <w:tcPr>
            <w:tcW w:w="2557" w:type="dxa"/>
            <w:vMerge w:val="continue"/>
          </w:tcPr>
          <w:p>
            <w:pPr>
              <w:rPr>
                <w:sz w:val="18"/>
                <w:szCs w:val="18"/>
              </w:rPr>
            </w:pPr>
          </w:p>
        </w:tc>
        <w:tc>
          <w:tcPr>
            <w:tcW w:w="737" w:type="dxa"/>
            <w:vMerge w:val="continue"/>
          </w:tcPr>
          <w:p>
            <w:pPr>
              <w:jc w:val="center"/>
              <w:rPr>
                <w:rFonts w:cs="宋体"/>
                <w:sz w:val="18"/>
                <w:szCs w:val="18"/>
              </w:rPr>
            </w:pPr>
          </w:p>
        </w:tc>
        <w:tc>
          <w:tcPr>
            <w:tcW w:w="737" w:type="dxa"/>
            <w:vMerge w:val="restart"/>
            <w:vAlign w:val="center"/>
          </w:tcPr>
          <w:p>
            <w:pPr>
              <w:jc w:val="center"/>
              <w:rPr>
                <w:sz w:val="18"/>
                <w:szCs w:val="18"/>
              </w:rPr>
            </w:pPr>
            <w:r>
              <w:rPr>
                <w:rFonts w:hint="eastAsia" w:cs="宋体"/>
                <w:sz w:val="18"/>
                <w:szCs w:val="18"/>
              </w:rPr>
              <w:t>总学时</w:t>
            </w:r>
          </w:p>
        </w:tc>
        <w:tc>
          <w:tcPr>
            <w:tcW w:w="1076" w:type="dxa"/>
            <w:gridSpan w:val="2"/>
          </w:tcPr>
          <w:p>
            <w:pPr>
              <w:rPr>
                <w:sz w:val="18"/>
                <w:szCs w:val="18"/>
              </w:rPr>
            </w:pPr>
            <w:r>
              <w:rPr>
                <w:rFonts w:hint="eastAsia" w:cs="宋体"/>
                <w:sz w:val="18"/>
                <w:szCs w:val="18"/>
              </w:rPr>
              <w:t>课堂教学</w:t>
            </w:r>
          </w:p>
        </w:tc>
        <w:tc>
          <w:tcPr>
            <w:tcW w:w="579" w:type="dxa"/>
            <w:vMerge w:val="restart"/>
            <w:vAlign w:val="center"/>
          </w:tcPr>
          <w:p>
            <w:pPr>
              <w:jc w:val="center"/>
              <w:rPr>
                <w:sz w:val="18"/>
                <w:szCs w:val="18"/>
              </w:rPr>
            </w:pPr>
            <w:r>
              <w:rPr>
                <w:rFonts w:hint="eastAsia" w:cs="宋体"/>
                <w:sz w:val="18"/>
                <w:szCs w:val="18"/>
              </w:rPr>
              <w:t>自</w:t>
            </w:r>
          </w:p>
          <w:p>
            <w:pPr>
              <w:jc w:val="center"/>
              <w:rPr>
                <w:sz w:val="18"/>
                <w:szCs w:val="18"/>
              </w:rPr>
            </w:pPr>
            <w:r>
              <w:rPr>
                <w:rFonts w:hint="eastAsia" w:cs="宋体"/>
                <w:sz w:val="18"/>
                <w:szCs w:val="18"/>
              </w:rPr>
              <w:t>学</w:t>
            </w:r>
          </w:p>
        </w:tc>
        <w:tc>
          <w:tcPr>
            <w:tcW w:w="2459" w:type="dxa"/>
            <w:gridSpan w:val="5"/>
            <w:vMerge w:val="continue"/>
          </w:tcPr>
          <w:p>
            <w:pPr>
              <w:rPr>
                <w:sz w:val="18"/>
                <w:szCs w:val="18"/>
              </w:rPr>
            </w:pPr>
          </w:p>
        </w:tc>
        <w:tc>
          <w:tcPr>
            <w:tcW w:w="646" w:type="dxa"/>
            <w:vMerge w:val="continue"/>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93" w:type="dxa"/>
            <w:vMerge w:val="continue"/>
          </w:tcPr>
          <w:p>
            <w:pPr>
              <w:rPr>
                <w:rFonts w:ascii="黑体" w:eastAsia="黑体"/>
                <w:b/>
                <w:bCs/>
              </w:rPr>
            </w:pPr>
          </w:p>
        </w:tc>
        <w:tc>
          <w:tcPr>
            <w:tcW w:w="493" w:type="dxa"/>
            <w:vMerge w:val="continue"/>
          </w:tcPr>
          <w:p>
            <w:pPr>
              <w:rPr>
                <w:sz w:val="18"/>
                <w:szCs w:val="18"/>
              </w:rPr>
            </w:pPr>
          </w:p>
        </w:tc>
        <w:tc>
          <w:tcPr>
            <w:tcW w:w="2557" w:type="dxa"/>
            <w:vMerge w:val="continue"/>
          </w:tcPr>
          <w:p>
            <w:pPr>
              <w:rPr>
                <w:sz w:val="18"/>
                <w:szCs w:val="18"/>
              </w:rPr>
            </w:pPr>
          </w:p>
        </w:tc>
        <w:tc>
          <w:tcPr>
            <w:tcW w:w="737" w:type="dxa"/>
            <w:vMerge w:val="continue"/>
          </w:tcPr>
          <w:p>
            <w:pPr>
              <w:rPr>
                <w:sz w:val="18"/>
                <w:szCs w:val="18"/>
              </w:rPr>
            </w:pPr>
          </w:p>
        </w:tc>
        <w:tc>
          <w:tcPr>
            <w:tcW w:w="737" w:type="dxa"/>
            <w:vMerge w:val="continue"/>
          </w:tcPr>
          <w:p>
            <w:pPr>
              <w:rPr>
                <w:sz w:val="18"/>
                <w:szCs w:val="18"/>
              </w:rPr>
            </w:pPr>
          </w:p>
        </w:tc>
        <w:tc>
          <w:tcPr>
            <w:tcW w:w="576" w:type="dxa"/>
            <w:vMerge w:val="restart"/>
            <w:vAlign w:val="center"/>
          </w:tcPr>
          <w:p>
            <w:pPr>
              <w:jc w:val="center"/>
              <w:rPr>
                <w:sz w:val="18"/>
                <w:szCs w:val="18"/>
              </w:rPr>
            </w:pPr>
            <w:r>
              <w:rPr>
                <w:rFonts w:hint="eastAsia" w:ascii="宋体" w:hAnsi="宋体" w:cs="宋体"/>
                <w:color w:val="000000"/>
                <w:kern w:val="0"/>
                <w:sz w:val="18"/>
                <w:szCs w:val="18"/>
              </w:rPr>
              <w:t>面授/辅导学时</w:t>
            </w:r>
          </w:p>
        </w:tc>
        <w:tc>
          <w:tcPr>
            <w:tcW w:w="500" w:type="dxa"/>
            <w:vMerge w:val="restart"/>
            <w:vAlign w:val="center"/>
          </w:tcPr>
          <w:p>
            <w:pPr>
              <w:jc w:val="center"/>
              <w:rPr>
                <w:sz w:val="18"/>
                <w:szCs w:val="18"/>
              </w:rPr>
            </w:pPr>
            <w:r>
              <w:rPr>
                <w:rFonts w:hint="eastAsia" w:cs="宋体"/>
                <w:sz w:val="18"/>
                <w:szCs w:val="18"/>
              </w:rPr>
              <w:t>实训</w:t>
            </w:r>
          </w:p>
        </w:tc>
        <w:tc>
          <w:tcPr>
            <w:tcW w:w="579" w:type="dxa"/>
            <w:vMerge w:val="continue"/>
          </w:tcPr>
          <w:p>
            <w:pPr>
              <w:rPr>
                <w:sz w:val="18"/>
                <w:szCs w:val="18"/>
              </w:rPr>
            </w:pPr>
          </w:p>
        </w:tc>
        <w:tc>
          <w:tcPr>
            <w:tcW w:w="2459" w:type="dxa"/>
            <w:gridSpan w:val="5"/>
            <w:vMerge w:val="continue"/>
          </w:tcPr>
          <w:p>
            <w:pPr>
              <w:rPr>
                <w:sz w:val="18"/>
                <w:szCs w:val="18"/>
              </w:rPr>
            </w:pPr>
          </w:p>
        </w:tc>
        <w:tc>
          <w:tcPr>
            <w:tcW w:w="646" w:type="dxa"/>
            <w:vMerge w:val="continue"/>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93" w:type="dxa"/>
            <w:vMerge w:val="continue"/>
          </w:tcPr>
          <w:p>
            <w:pPr>
              <w:rPr>
                <w:rFonts w:ascii="黑体" w:eastAsia="黑体"/>
                <w:b/>
                <w:bCs/>
              </w:rPr>
            </w:pPr>
          </w:p>
        </w:tc>
        <w:tc>
          <w:tcPr>
            <w:tcW w:w="493" w:type="dxa"/>
            <w:vMerge w:val="continue"/>
          </w:tcPr>
          <w:p>
            <w:pPr>
              <w:rPr>
                <w:sz w:val="18"/>
                <w:szCs w:val="18"/>
              </w:rPr>
            </w:pPr>
          </w:p>
        </w:tc>
        <w:tc>
          <w:tcPr>
            <w:tcW w:w="2557" w:type="dxa"/>
            <w:vMerge w:val="continue"/>
          </w:tcPr>
          <w:p>
            <w:pPr>
              <w:rPr>
                <w:sz w:val="18"/>
                <w:szCs w:val="18"/>
              </w:rPr>
            </w:pPr>
          </w:p>
        </w:tc>
        <w:tc>
          <w:tcPr>
            <w:tcW w:w="737" w:type="dxa"/>
            <w:vMerge w:val="continue"/>
          </w:tcPr>
          <w:p>
            <w:pPr>
              <w:rPr>
                <w:sz w:val="18"/>
                <w:szCs w:val="18"/>
              </w:rPr>
            </w:pPr>
          </w:p>
        </w:tc>
        <w:tc>
          <w:tcPr>
            <w:tcW w:w="737" w:type="dxa"/>
            <w:vMerge w:val="continue"/>
          </w:tcPr>
          <w:p>
            <w:pPr>
              <w:rPr>
                <w:sz w:val="18"/>
                <w:szCs w:val="18"/>
              </w:rPr>
            </w:pPr>
          </w:p>
        </w:tc>
        <w:tc>
          <w:tcPr>
            <w:tcW w:w="576" w:type="dxa"/>
            <w:vMerge w:val="continue"/>
          </w:tcPr>
          <w:p>
            <w:pPr>
              <w:rPr>
                <w:sz w:val="18"/>
                <w:szCs w:val="18"/>
              </w:rPr>
            </w:pPr>
          </w:p>
        </w:tc>
        <w:tc>
          <w:tcPr>
            <w:tcW w:w="500" w:type="dxa"/>
            <w:vMerge w:val="continue"/>
          </w:tcPr>
          <w:p>
            <w:pPr>
              <w:rPr>
                <w:sz w:val="18"/>
                <w:szCs w:val="18"/>
              </w:rPr>
            </w:pPr>
          </w:p>
        </w:tc>
        <w:tc>
          <w:tcPr>
            <w:tcW w:w="579" w:type="dxa"/>
            <w:vMerge w:val="continue"/>
          </w:tcPr>
          <w:p>
            <w:pPr>
              <w:rPr>
                <w:sz w:val="18"/>
                <w:szCs w:val="18"/>
              </w:rPr>
            </w:pPr>
          </w:p>
        </w:tc>
        <w:tc>
          <w:tcPr>
            <w:tcW w:w="491" w:type="dxa"/>
            <w:vAlign w:val="center"/>
          </w:tcPr>
          <w:p>
            <w:pPr>
              <w:jc w:val="center"/>
              <w:rPr>
                <w:sz w:val="18"/>
                <w:szCs w:val="18"/>
              </w:rPr>
            </w:pPr>
            <w:r>
              <w:rPr>
                <w:rFonts w:hint="eastAsia" w:cs="宋体"/>
                <w:sz w:val="18"/>
                <w:szCs w:val="18"/>
              </w:rPr>
              <w:t>第一学期</w:t>
            </w:r>
          </w:p>
        </w:tc>
        <w:tc>
          <w:tcPr>
            <w:tcW w:w="491" w:type="dxa"/>
            <w:vAlign w:val="center"/>
          </w:tcPr>
          <w:p>
            <w:pPr>
              <w:jc w:val="center"/>
              <w:rPr>
                <w:sz w:val="18"/>
                <w:szCs w:val="18"/>
              </w:rPr>
            </w:pPr>
            <w:r>
              <w:rPr>
                <w:rFonts w:hint="eastAsia" w:cs="宋体"/>
                <w:sz w:val="18"/>
                <w:szCs w:val="18"/>
              </w:rPr>
              <w:t>第二学期</w:t>
            </w:r>
          </w:p>
        </w:tc>
        <w:tc>
          <w:tcPr>
            <w:tcW w:w="492" w:type="dxa"/>
            <w:vAlign w:val="center"/>
          </w:tcPr>
          <w:p>
            <w:pPr>
              <w:jc w:val="center"/>
              <w:rPr>
                <w:sz w:val="18"/>
                <w:szCs w:val="18"/>
              </w:rPr>
            </w:pPr>
            <w:r>
              <w:rPr>
                <w:rFonts w:hint="eastAsia" w:cs="宋体"/>
                <w:sz w:val="18"/>
                <w:szCs w:val="18"/>
              </w:rPr>
              <w:t>第三学期</w:t>
            </w:r>
          </w:p>
        </w:tc>
        <w:tc>
          <w:tcPr>
            <w:tcW w:w="492" w:type="dxa"/>
            <w:vAlign w:val="center"/>
          </w:tcPr>
          <w:p>
            <w:pPr>
              <w:jc w:val="center"/>
              <w:rPr>
                <w:sz w:val="18"/>
                <w:szCs w:val="18"/>
              </w:rPr>
            </w:pPr>
            <w:r>
              <w:rPr>
                <w:rFonts w:hint="eastAsia" w:cs="宋体"/>
                <w:sz w:val="18"/>
                <w:szCs w:val="18"/>
              </w:rPr>
              <w:t>第四学期</w:t>
            </w:r>
          </w:p>
        </w:tc>
        <w:tc>
          <w:tcPr>
            <w:tcW w:w="493" w:type="dxa"/>
            <w:vAlign w:val="center"/>
          </w:tcPr>
          <w:p>
            <w:pPr>
              <w:jc w:val="center"/>
              <w:rPr>
                <w:sz w:val="18"/>
                <w:szCs w:val="18"/>
              </w:rPr>
            </w:pPr>
            <w:r>
              <w:rPr>
                <w:rFonts w:hint="eastAsia" w:cs="宋体"/>
                <w:sz w:val="18"/>
                <w:szCs w:val="18"/>
              </w:rPr>
              <w:t>第五学期</w:t>
            </w:r>
          </w:p>
        </w:tc>
        <w:tc>
          <w:tcPr>
            <w:tcW w:w="646" w:type="dxa"/>
            <w:vMerge w:val="continue"/>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Merge w:val="restart"/>
            <w:vAlign w:val="center"/>
          </w:tcPr>
          <w:p>
            <w:pPr>
              <w:jc w:val="center"/>
              <w:rPr>
                <w:rFonts w:ascii="黑体" w:eastAsia="黑体"/>
                <w:b/>
                <w:bCs/>
              </w:rPr>
            </w:pPr>
            <w:r>
              <w:rPr>
                <w:rFonts w:hint="eastAsia" w:ascii="黑体" w:eastAsia="黑体" w:cs="黑体"/>
                <w:b/>
                <w:bCs/>
              </w:rPr>
              <w:t>公共基础课</w:t>
            </w:r>
          </w:p>
        </w:tc>
        <w:tc>
          <w:tcPr>
            <w:tcW w:w="493" w:type="dxa"/>
            <w:vAlign w:val="center"/>
          </w:tcPr>
          <w:p>
            <w:pPr>
              <w:jc w:val="center"/>
              <w:rPr>
                <w:sz w:val="18"/>
                <w:szCs w:val="18"/>
              </w:rPr>
            </w:pPr>
            <w:r>
              <w:rPr>
                <w:sz w:val="18"/>
                <w:szCs w:val="18"/>
              </w:rPr>
              <w:t>1</w:t>
            </w:r>
          </w:p>
        </w:tc>
        <w:tc>
          <w:tcPr>
            <w:tcW w:w="2557" w:type="dxa"/>
            <w:vAlign w:val="center"/>
          </w:tcPr>
          <w:p>
            <w:pPr>
              <w:jc w:val="center"/>
            </w:pPr>
            <w:r>
              <w:rPr>
                <w:rFonts w:hint="eastAsia" w:cs="宋体"/>
              </w:rPr>
              <w:t>思想道德修养与法律基础</w:t>
            </w:r>
          </w:p>
        </w:tc>
        <w:tc>
          <w:tcPr>
            <w:tcW w:w="737" w:type="dxa"/>
          </w:tcPr>
          <w:p>
            <w:pPr>
              <w:jc w:val="center"/>
            </w:pPr>
            <w:r>
              <w:rPr>
                <w:rFonts w:hint="eastAsia"/>
              </w:rPr>
              <w:t>3</w:t>
            </w:r>
          </w:p>
        </w:tc>
        <w:tc>
          <w:tcPr>
            <w:tcW w:w="737" w:type="dxa"/>
            <w:vAlign w:val="center"/>
          </w:tcPr>
          <w:p>
            <w:pPr>
              <w:jc w:val="center"/>
            </w:pPr>
            <w:r>
              <w:rPr>
                <w:rFonts w:hint="eastAsia"/>
              </w:rPr>
              <w:t>54</w:t>
            </w:r>
          </w:p>
        </w:tc>
        <w:tc>
          <w:tcPr>
            <w:tcW w:w="576" w:type="dxa"/>
            <w:vAlign w:val="center"/>
          </w:tcPr>
          <w:p>
            <w:pPr>
              <w:jc w:val="center"/>
            </w:pPr>
            <w:r>
              <w:rPr>
                <w:rFonts w:hint="eastAsia"/>
              </w:rPr>
              <w:t>20</w:t>
            </w:r>
          </w:p>
        </w:tc>
        <w:tc>
          <w:tcPr>
            <w:tcW w:w="500" w:type="dxa"/>
            <w:vAlign w:val="center"/>
          </w:tcPr>
          <w:p>
            <w:pPr>
              <w:jc w:val="center"/>
            </w:pPr>
          </w:p>
        </w:tc>
        <w:tc>
          <w:tcPr>
            <w:tcW w:w="579" w:type="dxa"/>
            <w:vAlign w:val="center"/>
          </w:tcPr>
          <w:p>
            <w:pPr>
              <w:jc w:val="center"/>
            </w:pPr>
            <w:r>
              <w:rPr>
                <w:rFonts w:hint="eastAsia"/>
              </w:rPr>
              <w:t>34</w:t>
            </w:r>
          </w:p>
        </w:tc>
        <w:tc>
          <w:tcPr>
            <w:tcW w:w="491" w:type="dxa"/>
            <w:vAlign w:val="center"/>
          </w:tcPr>
          <w:p>
            <w:pPr>
              <w:jc w:val="center"/>
            </w:pPr>
            <w:r>
              <w:rPr>
                <w:rFonts w:hint="eastAsia"/>
              </w:rPr>
              <w:t>20</w:t>
            </w:r>
          </w:p>
        </w:tc>
        <w:tc>
          <w:tcPr>
            <w:tcW w:w="491" w:type="dxa"/>
            <w:vAlign w:val="center"/>
          </w:tcPr>
          <w:p>
            <w:pPr>
              <w:jc w:val="center"/>
            </w:pPr>
          </w:p>
        </w:tc>
        <w:tc>
          <w:tcPr>
            <w:tcW w:w="492" w:type="dxa"/>
            <w:vAlign w:val="center"/>
          </w:tcPr>
          <w:p>
            <w:pPr>
              <w:jc w:val="center"/>
            </w:pPr>
          </w:p>
        </w:tc>
        <w:tc>
          <w:tcPr>
            <w:tcW w:w="492" w:type="dxa"/>
            <w:vAlign w:val="center"/>
          </w:tcPr>
          <w:p>
            <w:pPr>
              <w:jc w:val="center"/>
            </w:pPr>
          </w:p>
        </w:tc>
        <w:tc>
          <w:tcPr>
            <w:tcW w:w="493" w:type="dxa"/>
            <w:vAlign w:val="center"/>
          </w:tcPr>
          <w:p>
            <w:pPr>
              <w:jc w:val="center"/>
            </w:pPr>
          </w:p>
        </w:tc>
        <w:tc>
          <w:tcPr>
            <w:tcW w:w="646" w:type="dxa"/>
            <w:vAlign w:val="center"/>
          </w:tcPr>
          <w:p>
            <w:pPr>
              <w:jc w:val="center"/>
              <w:rPr>
                <w:sz w:val="18"/>
                <w:szCs w:val="18"/>
              </w:rPr>
            </w:pPr>
            <w:r>
              <w:rPr>
                <w:rFonts w:hint="eastAsia"/>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Merge w:val="continue"/>
            <w:vAlign w:val="center"/>
          </w:tcPr>
          <w:p>
            <w:pPr>
              <w:jc w:val="center"/>
              <w:rPr>
                <w:rFonts w:ascii="黑体" w:eastAsia="黑体"/>
                <w:b/>
                <w:bCs/>
              </w:rPr>
            </w:pPr>
          </w:p>
        </w:tc>
        <w:tc>
          <w:tcPr>
            <w:tcW w:w="493" w:type="dxa"/>
            <w:vAlign w:val="center"/>
          </w:tcPr>
          <w:p>
            <w:pPr>
              <w:jc w:val="center"/>
              <w:rPr>
                <w:sz w:val="18"/>
                <w:szCs w:val="18"/>
              </w:rPr>
            </w:pPr>
            <w:r>
              <w:rPr>
                <w:rFonts w:hint="eastAsia"/>
                <w:sz w:val="18"/>
                <w:szCs w:val="18"/>
              </w:rPr>
              <w:t>2</w:t>
            </w:r>
          </w:p>
        </w:tc>
        <w:tc>
          <w:tcPr>
            <w:tcW w:w="2557" w:type="dxa"/>
            <w:vAlign w:val="center"/>
          </w:tcPr>
          <w:p>
            <w:pPr>
              <w:jc w:val="center"/>
              <w:rPr>
                <w:rFonts w:cs="宋体"/>
              </w:rPr>
            </w:pPr>
            <w:r>
              <w:rPr>
                <w:rFonts w:hint="eastAsia" w:cs="宋体"/>
              </w:rPr>
              <w:t>毛泽东思想和中国特色社会主义理论体系概论</w:t>
            </w:r>
          </w:p>
        </w:tc>
        <w:tc>
          <w:tcPr>
            <w:tcW w:w="737" w:type="dxa"/>
          </w:tcPr>
          <w:p>
            <w:pPr>
              <w:jc w:val="center"/>
            </w:pPr>
          </w:p>
          <w:p>
            <w:pPr>
              <w:jc w:val="center"/>
            </w:pPr>
            <w:r>
              <w:rPr>
                <w:rFonts w:hint="eastAsia"/>
              </w:rPr>
              <w:t>4</w:t>
            </w:r>
          </w:p>
        </w:tc>
        <w:tc>
          <w:tcPr>
            <w:tcW w:w="737" w:type="dxa"/>
            <w:vAlign w:val="center"/>
          </w:tcPr>
          <w:p>
            <w:pPr>
              <w:jc w:val="center"/>
            </w:pPr>
            <w:r>
              <w:rPr>
                <w:rFonts w:hint="eastAsia"/>
              </w:rPr>
              <w:t>72</w:t>
            </w:r>
          </w:p>
        </w:tc>
        <w:tc>
          <w:tcPr>
            <w:tcW w:w="576" w:type="dxa"/>
            <w:vAlign w:val="center"/>
          </w:tcPr>
          <w:p>
            <w:pPr>
              <w:jc w:val="center"/>
            </w:pPr>
            <w:r>
              <w:rPr>
                <w:rFonts w:hint="eastAsia"/>
              </w:rPr>
              <w:t>30</w:t>
            </w:r>
          </w:p>
        </w:tc>
        <w:tc>
          <w:tcPr>
            <w:tcW w:w="500" w:type="dxa"/>
            <w:vAlign w:val="center"/>
          </w:tcPr>
          <w:p>
            <w:pPr>
              <w:jc w:val="center"/>
            </w:pPr>
          </w:p>
        </w:tc>
        <w:tc>
          <w:tcPr>
            <w:tcW w:w="579" w:type="dxa"/>
            <w:vAlign w:val="center"/>
          </w:tcPr>
          <w:p>
            <w:pPr>
              <w:jc w:val="center"/>
            </w:pPr>
            <w:r>
              <w:rPr>
                <w:rFonts w:hint="eastAsia"/>
              </w:rPr>
              <w:t>42</w:t>
            </w:r>
          </w:p>
        </w:tc>
        <w:tc>
          <w:tcPr>
            <w:tcW w:w="491" w:type="dxa"/>
            <w:vAlign w:val="center"/>
          </w:tcPr>
          <w:p>
            <w:pPr>
              <w:jc w:val="center"/>
            </w:pPr>
          </w:p>
        </w:tc>
        <w:tc>
          <w:tcPr>
            <w:tcW w:w="491" w:type="dxa"/>
            <w:vAlign w:val="center"/>
          </w:tcPr>
          <w:p>
            <w:pPr>
              <w:jc w:val="center"/>
            </w:pPr>
            <w:r>
              <w:rPr>
                <w:rFonts w:hint="eastAsia"/>
              </w:rPr>
              <w:t>30</w:t>
            </w:r>
          </w:p>
        </w:tc>
        <w:tc>
          <w:tcPr>
            <w:tcW w:w="492" w:type="dxa"/>
            <w:vAlign w:val="center"/>
          </w:tcPr>
          <w:p>
            <w:pPr>
              <w:jc w:val="center"/>
            </w:pPr>
          </w:p>
        </w:tc>
        <w:tc>
          <w:tcPr>
            <w:tcW w:w="492" w:type="dxa"/>
            <w:vAlign w:val="center"/>
          </w:tcPr>
          <w:p>
            <w:pPr>
              <w:jc w:val="center"/>
            </w:pPr>
          </w:p>
        </w:tc>
        <w:tc>
          <w:tcPr>
            <w:tcW w:w="493" w:type="dxa"/>
            <w:vAlign w:val="center"/>
          </w:tcPr>
          <w:p>
            <w:pPr>
              <w:jc w:val="center"/>
            </w:pPr>
          </w:p>
        </w:tc>
        <w:tc>
          <w:tcPr>
            <w:tcW w:w="646" w:type="dxa"/>
            <w:vAlign w:val="center"/>
          </w:tcPr>
          <w:p>
            <w:pPr>
              <w:jc w:val="center"/>
              <w:rPr>
                <w:rFonts w:ascii="宋体" w:hAnsi="宋体" w:cs="宋体"/>
                <w:sz w:val="18"/>
                <w:szCs w:val="18"/>
              </w:rPr>
            </w:pPr>
            <w:r>
              <w:rPr>
                <w:rFonts w:hint="eastAsia" w:ascii="宋体" w:hAnsi="宋体" w:cs="宋体"/>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Merge w:val="continue"/>
            <w:vAlign w:val="center"/>
          </w:tcPr>
          <w:p>
            <w:pPr>
              <w:jc w:val="center"/>
              <w:rPr>
                <w:rFonts w:ascii="黑体" w:eastAsia="黑体"/>
                <w:b/>
                <w:bCs/>
              </w:rPr>
            </w:pPr>
          </w:p>
        </w:tc>
        <w:tc>
          <w:tcPr>
            <w:tcW w:w="493" w:type="dxa"/>
            <w:vAlign w:val="center"/>
          </w:tcPr>
          <w:p>
            <w:pPr>
              <w:jc w:val="center"/>
              <w:rPr>
                <w:sz w:val="18"/>
                <w:szCs w:val="18"/>
              </w:rPr>
            </w:pPr>
            <w:r>
              <w:rPr>
                <w:rFonts w:hint="eastAsia"/>
                <w:sz w:val="18"/>
                <w:szCs w:val="18"/>
              </w:rPr>
              <w:t>3</w:t>
            </w:r>
          </w:p>
        </w:tc>
        <w:tc>
          <w:tcPr>
            <w:tcW w:w="2557" w:type="dxa"/>
            <w:vAlign w:val="center"/>
          </w:tcPr>
          <w:p>
            <w:pPr>
              <w:ind w:firstLine="420" w:firstLineChars="200"/>
              <w:rPr>
                <w:rFonts w:cs="宋体"/>
              </w:rPr>
            </w:pPr>
            <w:r>
              <w:rPr>
                <w:rFonts w:hint="eastAsia" w:cs="宋体"/>
              </w:rPr>
              <w:t>形势与政策</w:t>
            </w:r>
          </w:p>
        </w:tc>
        <w:tc>
          <w:tcPr>
            <w:tcW w:w="737" w:type="dxa"/>
          </w:tcPr>
          <w:p>
            <w:pPr>
              <w:jc w:val="center"/>
            </w:pPr>
            <w:r>
              <w:rPr>
                <w:rFonts w:hint="eastAsia"/>
              </w:rPr>
              <w:t>2</w:t>
            </w:r>
          </w:p>
        </w:tc>
        <w:tc>
          <w:tcPr>
            <w:tcW w:w="737" w:type="dxa"/>
            <w:vAlign w:val="center"/>
          </w:tcPr>
          <w:p>
            <w:pPr>
              <w:jc w:val="center"/>
            </w:pPr>
            <w:r>
              <w:rPr>
                <w:rFonts w:hint="eastAsia"/>
              </w:rPr>
              <w:t>36</w:t>
            </w:r>
          </w:p>
        </w:tc>
        <w:tc>
          <w:tcPr>
            <w:tcW w:w="576" w:type="dxa"/>
            <w:vAlign w:val="center"/>
          </w:tcPr>
          <w:p>
            <w:pPr>
              <w:jc w:val="center"/>
            </w:pPr>
            <w:r>
              <w:rPr>
                <w:rFonts w:hint="eastAsia"/>
              </w:rPr>
              <w:t>8</w:t>
            </w:r>
          </w:p>
        </w:tc>
        <w:tc>
          <w:tcPr>
            <w:tcW w:w="500" w:type="dxa"/>
            <w:vAlign w:val="center"/>
          </w:tcPr>
          <w:p>
            <w:pPr>
              <w:jc w:val="center"/>
            </w:pPr>
          </w:p>
        </w:tc>
        <w:tc>
          <w:tcPr>
            <w:tcW w:w="579" w:type="dxa"/>
            <w:vAlign w:val="center"/>
          </w:tcPr>
          <w:p>
            <w:pPr>
              <w:jc w:val="center"/>
            </w:pPr>
            <w:r>
              <w:rPr>
                <w:rFonts w:hint="eastAsia"/>
              </w:rPr>
              <w:t>28</w:t>
            </w:r>
          </w:p>
        </w:tc>
        <w:tc>
          <w:tcPr>
            <w:tcW w:w="491" w:type="dxa"/>
            <w:vAlign w:val="center"/>
          </w:tcPr>
          <w:p>
            <w:pPr>
              <w:jc w:val="center"/>
            </w:pPr>
          </w:p>
        </w:tc>
        <w:tc>
          <w:tcPr>
            <w:tcW w:w="491" w:type="dxa"/>
            <w:vAlign w:val="center"/>
          </w:tcPr>
          <w:p>
            <w:pPr>
              <w:jc w:val="center"/>
            </w:pPr>
          </w:p>
        </w:tc>
        <w:tc>
          <w:tcPr>
            <w:tcW w:w="492" w:type="dxa"/>
            <w:vAlign w:val="center"/>
          </w:tcPr>
          <w:p>
            <w:pPr>
              <w:jc w:val="center"/>
            </w:pPr>
            <w:r>
              <w:rPr>
                <w:rFonts w:hint="eastAsia"/>
              </w:rPr>
              <w:t>4</w:t>
            </w:r>
          </w:p>
        </w:tc>
        <w:tc>
          <w:tcPr>
            <w:tcW w:w="492" w:type="dxa"/>
            <w:vAlign w:val="center"/>
          </w:tcPr>
          <w:p>
            <w:pPr>
              <w:jc w:val="center"/>
            </w:pPr>
            <w:r>
              <w:rPr>
                <w:rFonts w:hint="eastAsia"/>
              </w:rPr>
              <w:t>4</w:t>
            </w:r>
          </w:p>
        </w:tc>
        <w:tc>
          <w:tcPr>
            <w:tcW w:w="493" w:type="dxa"/>
            <w:vAlign w:val="center"/>
          </w:tcPr>
          <w:p>
            <w:pPr>
              <w:jc w:val="center"/>
            </w:pPr>
          </w:p>
        </w:tc>
        <w:tc>
          <w:tcPr>
            <w:tcW w:w="646" w:type="dxa"/>
            <w:vAlign w:val="center"/>
          </w:tcPr>
          <w:p>
            <w:pPr>
              <w:jc w:val="center"/>
              <w:rPr>
                <w:rFonts w:ascii="宋体" w:hAnsi="宋体" w:cs="宋体"/>
                <w:sz w:val="18"/>
                <w:szCs w:val="18"/>
              </w:rPr>
            </w:pPr>
            <w:r>
              <w:rPr>
                <w:rFonts w:hint="eastAsia" w:ascii="宋体" w:hAnsi="宋体" w:cs="宋体"/>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Merge w:val="continue"/>
            <w:vAlign w:val="center"/>
          </w:tcPr>
          <w:p>
            <w:pPr>
              <w:jc w:val="center"/>
              <w:rPr>
                <w:rFonts w:ascii="黑体" w:eastAsia="黑体"/>
                <w:b/>
                <w:bCs/>
              </w:rPr>
            </w:pPr>
          </w:p>
        </w:tc>
        <w:tc>
          <w:tcPr>
            <w:tcW w:w="493" w:type="dxa"/>
            <w:vAlign w:val="center"/>
          </w:tcPr>
          <w:p>
            <w:pPr>
              <w:jc w:val="center"/>
              <w:rPr>
                <w:sz w:val="18"/>
                <w:szCs w:val="18"/>
              </w:rPr>
            </w:pPr>
            <w:r>
              <w:rPr>
                <w:rFonts w:hint="eastAsia"/>
                <w:sz w:val="18"/>
                <w:szCs w:val="18"/>
              </w:rPr>
              <w:t>4</w:t>
            </w:r>
          </w:p>
        </w:tc>
        <w:tc>
          <w:tcPr>
            <w:tcW w:w="2557" w:type="dxa"/>
            <w:vAlign w:val="center"/>
          </w:tcPr>
          <w:p>
            <w:pPr>
              <w:jc w:val="center"/>
            </w:pPr>
            <w:r>
              <w:rPr>
                <w:rFonts w:hint="eastAsia" w:cs="宋体"/>
              </w:rPr>
              <w:t>大学英语</w:t>
            </w:r>
          </w:p>
        </w:tc>
        <w:tc>
          <w:tcPr>
            <w:tcW w:w="737" w:type="dxa"/>
          </w:tcPr>
          <w:p>
            <w:pPr>
              <w:jc w:val="center"/>
            </w:pPr>
            <w:r>
              <w:rPr>
                <w:rFonts w:hint="eastAsia"/>
              </w:rPr>
              <w:t>4</w:t>
            </w:r>
          </w:p>
        </w:tc>
        <w:tc>
          <w:tcPr>
            <w:tcW w:w="737" w:type="dxa"/>
            <w:vAlign w:val="center"/>
          </w:tcPr>
          <w:p>
            <w:pPr>
              <w:jc w:val="center"/>
            </w:pPr>
            <w:r>
              <w:rPr>
                <w:rFonts w:hint="eastAsia"/>
              </w:rPr>
              <w:t>72</w:t>
            </w:r>
          </w:p>
        </w:tc>
        <w:tc>
          <w:tcPr>
            <w:tcW w:w="576" w:type="dxa"/>
            <w:vAlign w:val="center"/>
          </w:tcPr>
          <w:p>
            <w:pPr>
              <w:jc w:val="center"/>
            </w:pPr>
            <w:r>
              <w:rPr>
                <w:rFonts w:hint="eastAsia"/>
              </w:rPr>
              <w:t>20</w:t>
            </w:r>
          </w:p>
        </w:tc>
        <w:tc>
          <w:tcPr>
            <w:tcW w:w="500" w:type="dxa"/>
            <w:vAlign w:val="center"/>
          </w:tcPr>
          <w:p>
            <w:pPr>
              <w:jc w:val="center"/>
            </w:pPr>
          </w:p>
        </w:tc>
        <w:tc>
          <w:tcPr>
            <w:tcW w:w="579" w:type="dxa"/>
            <w:vAlign w:val="center"/>
          </w:tcPr>
          <w:p>
            <w:pPr>
              <w:jc w:val="center"/>
            </w:pPr>
            <w:r>
              <w:rPr>
                <w:rFonts w:hint="eastAsia"/>
              </w:rPr>
              <w:t>52</w:t>
            </w:r>
          </w:p>
        </w:tc>
        <w:tc>
          <w:tcPr>
            <w:tcW w:w="491" w:type="dxa"/>
            <w:vAlign w:val="center"/>
          </w:tcPr>
          <w:p>
            <w:pPr>
              <w:jc w:val="center"/>
            </w:pPr>
            <w:r>
              <w:rPr>
                <w:rFonts w:hint="eastAsia"/>
              </w:rPr>
              <w:t>20</w:t>
            </w:r>
          </w:p>
        </w:tc>
        <w:tc>
          <w:tcPr>
            <w:tcW w:w="491" w:type="dxa"/>
            <w:vAlign w:val="center"/>
          </w:tcPr>
          <w:p>
            <w:pPr>
              <w:jc w:val="center"/>
            </w:pPr>
          </w:p>
        </w:tc>
        <w:tc>
          <w:tcPr>
            <w:tcW w:w="492" w:type="dxa"/>
            <w:vAlign w:val="center"/>
          </w:tcPr>
          <w:p>
            <w:pPr>
              <w:jc w:val="center"/>
            </w:pPr>
          </w:p>
        </w:tc>
        <w:tc>
          <w:tcPr>
            <w:tcW w:w="492" w:type="dxa"/>
            <w:vAlign w:val="center"/>
          </w:tcPr>
          <w:p>
            <w:pPr>
              <w:jc w:val="center"/>
            </w:pPr>
          </w:p>
        </w:tc>
        <w:tc>
          <w:tcPr>
            <w:tcW w:w="493" w:type="dxa"/>
            <w:vAlign w:val="center"/>
          </w:tcPr>
          <w:p>
            <w:pPr>
              <w:jc w:val="center"/>
            </w:pPr>
          </w:p>
        </w:tc>
        <w:tc>
          <w:tcPr>
            <w:tcW w:w="646" w:type="dxa"/>
            <w:vAlign w:val="center"/>
          </w:tcPr>
          <w:p>
            <w:pPr>
              <w:jc w:val="center"/>
              <w:rPr>
                <w:sz w:val="18"/>
                <w:szCs w:val="18"/>
              </w:rPr>
            </w:pPr>
            <w:r>
              <w:rPr>
                <w:rFonts w:hint="eastAsia"/>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Merge w:val="continue"/>
            <w:vAlign w:val="center"/>
          </w:tcPr>
          <w:p>
            <w:pPr>
              <w:jc w:val="center"/>
              <w:rPr>
                <w:rFonts w:ascii="黑体" w:eastAsia="黑体"/>
                <w:b/>
                <w:bCs/>
              </w:rPr>
            </w:pPr>
          </w:p>
        </w:tc>
        <w:tc>
          <w:tcPr>
            <w:tcW w:w="493" w:type="dxa"/>
            <w:vAlign w:val="center"/>
          </w:tcPr>
          <w:p>
            <w:pPr>
              <w:jc w:val="center"/>
              <w:rPr>
                <w:sz w:val="18"/>
                <w:szCs w:val="18"/>
              </w:rPr>
            </w:pPr>
            <w:r>
              <w:rPr>
                <w:rFonts w:hint="eastAsia"/>
                <w:sz w:val="18"/>
                <w:szCs w:val="18"/>
              </w:rPr>
              <w:t>5</w:t>
            </w:r>
          </w:p>
        </w:tc>
        <w:tc>
          <w:tcPr>
            <w:tcW w:w="2557" w:type="dxa"/>
            <w:vAlign w:val="center"/>
          </w:tcPr>
          <w:p>
            <w:pPr>
              <w:jc w:val="center"/>
            </w:pPr>
            <w:r>
              <w:rPr>
                <w:rFonts w:hint="eastAsia" w:cs="宋体"/>
              </w:rPr>
              <w:t>计算机应用基础</w:t>
            </w:r>
          </w:p>
        </w:tc>
        <w:tc>
          <w:tcPr>
            <w:tcW w:w="737" w:type="dxa"/>
          </w:tcPr>
          <w:p>
            <w:pPr>
              <w:jc w:val="center"/>
            </w:pPr>
            <w:r>
              <w:rPr>
                <w:rFonts w:hint="eastAsia"/>
              </w:rPr>
              <w:t>4</w:t>
            </w:r>
          </w:p>
        </w:tc>
        <w:tc>
          <w:tcPr>
            <w:tcW w:w="737" w:type="dxa"/>
            <w:vAlign w:val="center"/>
          </w:tcPr>
          <w:p>
            <w:pPr>
              <w:jc w:val="center"/>
            </w:pPr>
            <w:r>
              <w:rPr>
                <w:rFonts w:hint="eastAsia"/>
              </w:rPr>
              <w:t>72</w:t>
            </w:r>
          </w:p>
        </w:tc>
        <w:tc>
          <w:tcPr>
            <w:tcW w:w="576" w:type="dxa"/>
            <w:vAlign w:val="center"/>
          </w:tcPr>
          <w:p>
            <w:pPr>
              <w:jc w:val="center"/>
            </w:pPr>
            <w:r>
              <w:rPr>
                <w:rFonts w:hint="eastAsia"/>
              </w:rPr>
              <w:t>10</w:t>
            </w:r>
          </w:p>
        </w:tc>
        <w:tc>
          <w:tcPr>
            <w:tcW w:w="500" w:type="dxa"/>
            <w:vAlign w:val="center"/>
          </w:tcPr>
          <w:p>
            <w:pPr>
              <w:jc w:val="center"/>
            </w:pPr>
            <w:r>
              <w:rPr>
                <w:rFonts w:hint="eastAsia"/>
              </w:rPr>
              <w:t>20</w:t>
            </w:r>
          </w:p>
        </w:tc>
        <w:tc>
          <w:tcPr>
            <w:tcW w:w="579" w:type="dxa"/>
            <w:vAlign w:val="center"/>
          </w:tcPr>
          <w:p>
            <w:pPr>
              <w:jc w:val="center"/>
            </w:pPr>
            <w:r>
              <w:rPr>
                <w:rFonts w:hint="eastAsia"/>
              </w:rPr>
              <w:t>42</w:t>
            </w:r>
          </w:p>
        </w:tc>
        <w:tc>
          <w:tcPr>
            <w:tcW w:w="491" w:type="dxa"/>
            <w:vAlign w:val="center"/>
          </w:tcPr>
          <w:p>
            <w:pPr>
              <w:jc w:val="center"/>
            </w:pPr>
            <w:r>
              <w:rPr>
                <w:rFonts w:hint="eastAsia"/>
              </w:rPr>
              <w:t>30</w:t>
            </w:r>
          </w:p>
        </w:tc>
        <w:tc>
          <w:tcPr>
            <w:tcW w:w="491" w:type="dxa"/>
            <w:vAlign w:val="center"/>
          </w:tcPr>
          <w:p>
            <w:pPr>
              <w:jc w:val="center"/>
            </w:pPr>
          </w:p>
        </w:tc>
        <w:tc>
          <w:tcPr>
            <w:tcW w:w="492" w:type="dxa"/>
            <w:vAlign w:val="center"/>
          </w:tcPr>
          <w:p>
            <w:pPr>
              <w:jc w:val="center"/>
            </w:pPr>
          </w:p>
        </w:tc>
        <w:tc>
          <w:tcPr>
            <w:tcW w:w="492" w:type="dxa"/>
            <w:vAlign w:val="center"/>
          </w:tcPr>
          <w:p>
            <w:pPr>
              <w:jc w:val="center"/>
            </w:pPr>
          </w:p>
        </w:tc>
        <w:tc>
          <w:tcPr>
            <w:tcW w:w="493" w:type="dxa"/>
            <w:vAlign w:val="center"/>
          </w:tcPr>
          <w:p>
            <w:pPr>
              <w:jc w:val="center"/>
            </w:pPr>
          </w:p>
        </w:tc>
        <w:tc>
          <w:tcPr>
            <w:tcW w:w="646" w:type="dxa"/>
            <w:vAlign w:val="center"/>
          </w:tcPr>
          <w:p>
            <w:pPr>
              <w:jc w:val="center"/>
              <w:rPr>
                <w:sz w:val="18"/>
                <w:szCs w:val="18"/>
              </w:rPr>
            </w:pPr>
            <w:r>
              <w:rPr>
                <w:rFonts w:hint="eastAsia"/>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Merge w:val="continue"/>
            <w:vAlign w:val="center"/>
          </w:tcPr>
          <w:p>
            <w:pPr>
              <w:jc w:val="center"/>
              <w:rPr>
                <w:rFonts w:ascii="黑体" w:eastAsia="黑体"/>
                <w:b/>
                <w:bCs/>
              </w:rPr>
            </w:pPr>
          </w:p>
        </w:tc>
        <w:tc>
          <w:tcPr>
            <w:tcW w:w="493" w:type="dxa"/>
            <w:vAlign w:val="center"/>
          </w:tcPr>
          <w:p>
            <w:pPr>
              <w:jc w:val="center"/>
              <w:rPr>
                <w:sz w:val="18"/>
                <w:szCs w:val="18"/>
              </w:rPr>
            </w:pPr>
            <w:r>
              <w:rPr>
                <w:rFonts w:hint="eastAsia"/>
                <w:sz w:val="18"/>
                <w:szCs w:val="18"/>
              </w:rPr>
              <w:t>6</w:t>
            </w:r>
          </w:p>
        </w:tc>
        <w:tc>
          <w:tcPr>
            <w:tcW w:w="2557" w:type="dxa"/>
            <w:vAlign w:val="center"/>
          </w:tcPr>
          <w:p>
            <w:pPr>
              <w:jc w:val="center"/>
            </w:pPr>
            <w:r>
              <w:rPr>
                <w:rFonts w:hint="eastAsia"/>
                <w:sz w:val="20"/>
              </w:rPr>
              <w:t>医学文献检索文献检索和信息技术</w:t>
            </w:r>
          </w:p>
        </w:tc>
        <w:tc>
          <w:tcPr>
            <w:tcW w:w="737" w:type="dxa"/>
          </w:tcPr>
          <w:p>
            <w:pPr>
              <w:jc w:val="center"/>
            </w:pPr>
            <w:r>
              <w:rPr>
                <w:rFonts w:hint="eastAsia"/>
              </w:rPr>
              <w:t>3</w:t>
            </w:r>
          </w:p>
        </w:tc>
        <w:tc>
          <w:tcPr>
            <w:tcW w:w="737" w:type="dxa"/>
            <w:vAlign w:val="center"/>
          </w:tcPr>
          <w:p>
            <w:pPr>
              <w:jc w:val="center"/>
            </w:pPr>
            <w:r>
              <w:rPr>
                <w:rFonts w:hint="eastAsia"/>
              </w:rPr>
              <w:t>54</w:t>
            </w:r>
          </w:p>
        </w:tc>
        <w:tc>
          <w:tcPr>
            <w:tcW w:w="576" w:type="dxa"/>
            <w:vAlign w:val="center"/>
          </w:tcPr>
          <w:p>
            <w:pPr>
              <w:jc w:val="center"/>
            </w:pPr>
            <w:r>
              <w:rPr>
                <w:rFonts w:hint="eastAsia"/>
              </w:rPr>
              <w:t>20</w:t>
            </w:r>
          </w:p>
        </w:tc>
        <w:tc>
          <w:tcPr>
            <w:tcW w:w="500" w:type="dxa"/>
            <w:vAlign w:val="center"/>
          </w:tcPr>
          <w:p>
            <w:pPr>
              <w:jc w:val="center"/>
            </w:pPr>
          </w:p>
        </w:tc>
        <w:tc>
          <w:tcPr>
            <w:tcW w:w="579" w:type="dxa"/>
            <w:vAlign w:val="center"/>
          </w:tcPr>
          <w:p>
            <w:pPr>
              <w:jc w:val="center"/>
            </w:pPr>
            <w:r>
              <w:rPr>
                <w:rFonts w:hint="eastAsia"/>
              </w:rPr>
              <w:t>34</w:t>
            </w:r>
          </w:p>
        </w:tc>
        <w:tc>
          <w:tcPr>
            <w:tcW w:w="491" w:type="dxa"/>
            <w:vAlign w:val="center"/>
          </w:tcPr>
          <w:p>
            <w:pPr>
              <w:jc w:val="center"/>
            </w:pPr>
          </w:p>
        </w:tc>
        <w:tc>
          <w:tcPr>
            <w:tcW w:w="491" w:type="dxa"/>
            <w:vAlign w:val="center"/>
          </w:tcPr>
          <w:p>
            <w:pPr>
              <w:jc w:val="center"/>
            </w:pPr>
            <w:r>
              <w:rPr>
                <w:rFonts w:hint="eastAsia"/>
              </w:rPr>
              <w:t>20</w:t>
            </w:r>
          </w:p>
        </w:tc>
        <w:tc>
          <w:tcPr>
            <w:tcW w:w="492" w:type="dxa"/>
            <w:vAlign w:val="center"/>
          </w:tcPr>
          <w:p>
            <w:pPr>
              <w:jc w:val="center"/>
            </w:pPr>
          </w:p>
        </w:tc>
        <w:tc>
          <w:tcPr>
            <w:tcW w:w="492" w:type="dxa"/>
            <w:vAlign w:val="center"/>
          </w:tcPr>
          <w:p>
            <w:pPr>
              <w:jc w:val="center"/>
            </w:pPr>
          </w:p>
        </w:tc>
        <w:tc>
          <w:tcPr>
            <w:tcW w:w="493" w:type="dxa"/>
            <w:vAlign w:val="center"/>
          </w:tcPr>
          <w:p>
            <w:pPr>
              <w:jc w:val="center"/>
            </w:pPr>
          </w:p>
        </w:tc>
        <w:tc>
          <w:tcPr>
            <w:tcW w:w="646" w:type="dxa"/>
            <w:vAlign w:val="center"/>
          </w:tcPr>
          <w:p>
            <w:pPr>
              <w:jc w:val="center"/>
              <w:rPr>
                <w:sz w:val="18"/>
                <w:szCs w:val="18"/>
              </w:rPr>
            </w:pPr>
            <w:r>
              <w:rPr>
                <w:rFonts w:hint="eastAsia"/>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Merge w:val="restart"/>
            <w:vAlign w:val="center"/>
          </w:tcPr>
          <w:p>
            <w:pPr>
              <w:jc w:val="center"/>
              <w:rPr>
                <w:rFonts w:ascii="黑体" w:eastAsia="黑体"/>
                <w:b/>
                <w:bCs/>
              </w:rPr>
            </w:pPr>
            <w:r>
              <w:rPr>
                <w:rFonts w:hint="eastAsia" w:ascii="黑体" w:eastAsia="黑体" w:cs="黑体"/>
                <w:b/>
                <w:bCs/>
              </w:rPr>
              <w:t>专业基础课</w:t>
            </w:r>
          </w:p>
          <w:p>
            <w:pPr>
              <w:jc w:val="center"/>
              <w:rPr>
                <w:rFonts w:ascii="黑体" w:eastAsia="黑体"/>
                <w:b/>
                <w:bCs/>
              </w:rPr>
            </w:pPr>
          </w:p>
        </w:tc>
        <w:tc>
          <w:tcPr>
            <w:tcW w:w="493" w:type="dxa"/>
            <w:vAlign w:val="center"/>
          </w:tcPr>
          <w:p>
            <w:pPr>
              <w:jc w:val="center"/>
              <w:rPr>
                <w:rFonts w:hint="eastAsia" w:eastAsia="宋体"/>
                <w:sz w:val="18"/>
                <w:szCs w:val="18"/>
                <w:lang w:eastAsia="zh-CN"/>
              </w:rPr>
            </w:pPr>
            <w:r>
              <w:rPr>
                <w:rFonts w:hint="eastAsia"/>
                <w:sz w:val="18"/>
                <w:szCs w:val="18"/>
                <w:lang w:val="en-US" w:eastAsia="zh-CN"/>
              </w:rPr>
              <w:t>7</w:t>
            </w:r>
          </w:p>
        </w:tc>
        <w:tc>
          <w:tcPr>
            <w:tcW w:w="2557" w:type="dxa"/>
            <w:vAlign w:val="center"/>
          </w:tcPr>
          <w:p>
            <w:pPr>
              <w:jc w:val="center"/>
              <w:rPr>
                <w:rFonts w:ascii="宋体"/>
              </w:rPr>
            </w:pPr>
            <w:r>
              <w:rPr>
                <w:rFonts w:hint="eastAsia" w:ascii="宋体"/>
              </w:rPr>
              <w:t>人体形态结构</w:t>
            </w:r>
          </w:p>
        </w:tc>
        <w:tc>
          <w:tcPr>
            <w:tcW w:w="737" w:type="dxa"/>
          </w:tcPr>
          <w:p>
            <w:pPr>
              <w:jc w:val="center"/>
            </w:pPr>
            <w:r>
              <w:rPr>
                <w:rFonts w:hint="eastAsia"/>
              </w:rPr>
              <w:t>3</w:t>
            </w:r>
          </w:p>
        </w:tc>
        <w:tc>
          <w:tcPr>
            <w:tcW w:w="737" w:type="dxa"/>
            <w:vAlign w:val="center"/>
          </w:tcPr>
          <w:p>
            <w:pPr>
              <w:jc w:val="center"/>
            </w:pPr>
            <w:r>
              <w:rPr>
                <w:rFonts w:hint="eastAsia"/>
              </w:rPr>
              <w:t>54</w:t>
            </w:r>
          </w:p>
        </w:tc>
        <w:tc>
          <w:tcPr>
            <w:tcW w:w="576" w:type="dxa"/>
            <w:vAlign w:val="center"/>
          </w:tcPr>
          <w:p>
            <w:pPr>
              <w:jc w:val="center"/>
            </w:pPr>
            <w:r>
              <w:rPr>
                <w:rFonts w:hint="eastAsia"/>
              </w:rPr>
              <w:t>16</w:t>
            </w:r>
          </w:p>
        </w:tc>
        <w:tc>
          <w:tcPr>
            <w:tcW w:w="500" w:type="dxa"/>
            <w:vAlign w:val="center"/>
          </w:tcPr>
          <w:p>
            <w:pPr>
              <w:jc w:val="center"/>
            </w:pPr>
            <w:r>
              <w:rPr>
                <w:rFonts w:hint="eastAsia"/>
              </w:rPr>
              <w:t>4</w:t>
            </w:r>
          </w:p>
        </w:tc>
        <w:tc>
          <w:tcPr>
            <w:tcW w:w="579" w:type="dxa"/>
            <w:vAlign w:val="center"/>
          </w:tcPr>
          <w:p>
            <w:pPr>
              <w:jc w:val="center"/>
            </w:pPr>
            <w:r>
              <w:rPr>
                <w:rFonts w:hint="eastAsia"/>
              </w:rPr>
              <w:t>34</w:t>
            </w:r>
          </w:p>
        </w:tc>
        <w:tc>
          <w:tcPr>
            <w:tcW w:w="491" w:type="dxa"/>
            <w:vAlign w:val="center"/>
          </w:tcPr>
          <w:p>
            <w:pPr>
              <w:jc w:val="center"/>
            </w:pPr>
            <w:r>
              <w:rPr>
                <w:rFonts w:hint="eastAsia"/>
              </w:rPr>
              <w:t>20</w:t>
            </w:r>
          </w:p>
        </w:tc>
        <w:tc>
          <w:tcPr>
            <w:tcW w:w="491" w:type="dxa"/>
            <w:vAlign w:val="center"/>
          </w:tcPr>
          <w:p>
            <w:pPr>
              <w:jc w:val="center"/>
            </w:pPr>
          </w:p>
        </w:tc>
        <w:tc>
          <w:tcPr>
            <w:tcW w:w="492" w:type="dxa"/>
            <w:vAlign w:val="center"/>
          </w:tcPr>
          <w:p>
            <w:pPr>
              <w:jc w:val="center"/>
            </w:pPr>
          </w:p>
        </w:tc>
        <w:tc>
          <w:tcPr>
            <w:tcW w:w="492" w:type="dxa"/>
            <w:vAlign w:val="center"/>
          </w:tcPr>
          <w:p>
            <w:pPr>
              <w:jc w:val="center"/>
            </w:pPr>
          </w:p>
        </w:tc>
        <w:tc>
          <w:tcPr>
            <w:tcW w:w="493" w:type="dxa"/>
            <w:vAlign w:val="center"/>
          </w:tcPr>
          <w:p>
            <w:pPr>
              <w:jc w:val="center"/>
            </w:pPr>
          </w:p>
        </w:tc>
        <w:tc>
          <w:tcPr>
            <w:tcW w:w="646" w:type="dxa"/>
            <w:vAlign w:val="center"/>
          </w:tcPr>
          <w:p>
            <w:pPr>
              <w:jc w:val="center"/>
              <w:rPr>
                <w:sz w:val="18"/>
                <w:szCs w:val="18"/>
              </w:rPr>
            </w:pPr>
            <w:r>
              <w:rPr>
                <w:rFonts w:hint="eastAsia"/>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Merge w:val="continue"/>
            <w:vAlign w:val="center"/>
          </w:tcPr>
          <w:p>
            <w:pPr>
              <w:jc w:val="center"/>
              <w:rPr>
                <w:rFonts w:ascii="黑体" w:eastAsia="黑体"/>
                <w:b/>
                <w:bCs/>
              </w:rPr>
            </w:pPr>
          </w:p>
        </w:tc>
        <w:tc>
          <w:tcPr>
            <w:tcW w:w="493" w:type="dxa"/>
            <w:vAlign w:val="center"/>
          </w:tcPr>
          <w:p>
            <w:pPr>
              <w:jc w:val="center"/>
              <w:rPr>
                <w:rFonts w:hint="eastAsia" w:eastAsia="宋体"/>
                <w:sz w:val="18"/>
                <w:szCs w:val="18"/>
                <w:lang w:eastAsia="zh-CN"/>
              </w:rPr>
            </w:pPr>
            <w:r>
              <w:rPr>
                <w:rFonts w:hint="eastAsia"/>
                <w:sz w:val="18"/>
                <w:szCs w:val="18"/>
                <w:lang w:val="en-US" w:eastAsia="zh-CN"/>
              </w:rPr>
              <w:t>8</w:t>
            </w:r>
          </w:p>
        </w:tc>
        <w:tc>
          <w:tcPr>
            <w:tcW w:w="2557" w:type="dxa"/>
            <w:vAlign w:val="center"/>
          </w:tcPr>
          <w:p>
            <w:pPr>
              <w:jc w:val="center"/>
              <w:rPr>
                <w:rFonts w:ascii="宋体"/>
              </w:rPr>
            </w:pPr>
            <w:r>
              <w:rPr>
                <w:rFonts w:hint="eastAsia" w:ascii="宋体"/>
              </w:rPr>
              <w:t>生物化学</w:t>
            </w:r>
          </w:p>
        </w:tc>
        <w:tc>
          <w:tcPr>
            <w:tcW w:w="737" w:type="dxa"/>
          </w:tcPr>
          <w:p>
            <w:pPr>
              <w:jc w:val="center"/>
            </w:pPr>
            <w:r>
              <w:rPr>
                <w:rFonts w:hint="eastAsia"/>
              </w:rPr>
              <w:t>1</w:t>
            </w:r>
          </w:p>
        </w:tc>
        <w:tc>
          <w:tcPr>
            <w:tcW w:w="737" w:type="dxa"/>
            <w:vAlign w:val="center"/>
          </w:tcPr>
          <w:p>
            <w:pPr>
              <w:jc w:val="center"/>
            </w:pPr>
            <w:r>
              <w:rPr>
                <w:rFonts w:hint="eastAsia"/>
              </w:rPr>
              <w:t>18</w:t>
            </w:r>
          </w:p>
        </w:tc>
        <w:tc>
          <w:tcPr>
            <w:tcW w:w="576" w:type="dxa"/>
            <w:vAlign w:val="center"/>
          </w:tcPr>
          <w:p>
            <w:pPr>
              <w:jc w:val="center"/>
            </w:pPr>
            <w:r>
              <w:rPr>
                <w:rFonts w:hint="eastAsia"/>
              </w:rPr>
              <w:t>4</w:t>
            </w:r>
          </w:p>
        </w:tc>
        <w:tc>
          <w:tcPr>
            <w:tcW w:w="500" w:type="dxa"/>
            <w:vAlign w:val="center"/>
          </w:tcPr>
          <w:p>
            <w:pPr>
              <w:jc w:val="center"/>
            </w:pPr>
            <w:r>
              <w:rPr>
                <w:rFonts w:hint="eastAsia"/>
              </w:rPr>
              <w:t>2</w:t>
            </w:r>
          </w:p>
        </w:tc>
        <w:tc>
          <w:tcPr>
            <w:tcW w:w="579" w:type="dxa"/>
            <w:vAlign w:val="center"/>
          </w:tcPr>
          <w:p>
            <w:pPr>
              <w:jc w:val="center"/>
            </w:pPr>
            <w:r>
              <w:rPr>
                <w:rFonts w:hint="eastAsia"/>
              </w:rPr>
              <w:t>12</w:t>
            </w:r>
          </w:p>
        </w:tc>
        <w:tc>
          <w:tcPr>
            <w:tcW w:w="491" w:type="dxa"/>
            <w:vAlign w:val="center"/>
          </w:tcPr>
          <w:p>
            <w:pPr>
              <w:jc w:val="center"/>
            </w:pPr>
          </w:p>
        </w:tc>
        <w:tc>
          <w:tcPr>
            <w:tcW w:w="491" w:type="dxa"/>
            <w:vAlign w:val="center"/>
          </w:tcPr>
          <w:p>
            <w:pPr>
              <w:jc w:val="center"/>
            </w:pPr>
            <w:r>
              <w:rPr>
                <w:rFonts w:hint="eastAsia"/>
              </w:rPr>
              <w:t>6</w:t>
            </w:r>
          </w:p>
        </w:tc>
        <w:tc>
          <w:tcPr>
            <w:tcW w:w="492" w:type="dxa"/>
            <w:vAlign w:val="center"/>
          </w:tcPr>
          <w:p>
            <w:pPr>
              <w:jc w:val="center"/>
            </w:pPr>
          </w:p>
        </w:tc>
        <w:tc>
          <w:tcPr>
            <w:tcW w:w="492" w:type="dxa"/>
            <w:vAlign w:val="center"/>
          </w:tcPr>
          <w:p>
            <w:pPr>
              <w:jc w:val="center"/>
            </w:pPr>
          </w:p>
        </w:tc>
        <w:tc>
          <w:tcPr>
            <w:tcW w:w="493" w:type="dxa"/>
            <w:vAlign w:val="center"/>
          </w:tcPr>
          <w:p>
            <w:pPr>
              <w:jc w:val="center"/>
            </w:pPr>
          </w:p>
        </w:tc>
        <w:tc>
          <w:tcPr>
            <w:tcW w:w="646" w:type="dxa"/>
            <w:vAlign w:val="center"/>
          </w:tcPr>
          <w:p>
            <w:pPr>
              <w:jc w:val="center"/>
            </w:pPr>
            <w:r>
              <w:rPr>
                <w:rFonts w:hint="eastAsia"/>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Merge w:val="continue"/>
            <w:vAlign w:val="center"/>
          </w:tcPr>
          <w:p>
            <w:pPr>
              <w:jc w:val="center"/>
              <w:rPr>
                <w:rFonts w:ascii="黑体" w:eastAsia="黑体"/>
                <w:b/>
                <w:bCs/>
              </w:rPr>
            </w:pPr>
          </w:p>
        </w:tc>
        <w:tc>
          <w:tcPr>
            <w:tcW w:w="493" w:type="dxa"/>
            <w:vAlign w:val="center"/>
          </w:tcPr>
          <w:p>
            <w:pPr>
              <w:jc w:val="center"/>
              <w:rPr>
                <w:rFonts w:hint="eastAsia" w:eastAsia="宋体"/>
                <w:sz w:val="18"/>
                <w:szCs w:val="18"/>
                <w:lang w:eastAsia="zh-CN"/>
              </w:rPr>
            </w:pPr>
            <w:r>
              <w:rPr>
                <w:rFonts w:hint="eastAsia"/>
                <w:sz w:val="18"/>
                <w:szCs w:val="18"/>
                <w:lang w:val="en-US" w:eastAsia="zh-CN"/>
              </w:rPr>
              <w:t>9</w:t>
            </w:r>
          </w:p>
        </w:tc>
        <w:tc>
          <w:tcPr>
            <w:tcW w:w="2557" w:type="dxa"/>
            <w:vAlign w:val="center"/>
          </w:tcPr>
          <w:p>
            <w:pPr>
              <w:jc w:val="center"/>
              <w:rPr>
                <w:rFonts w:ascii="宋体"/>
              </w:rPr>
            </w:pPr>
            <w:r>
              <w:rPr>
                <w:rFonts w:hint="eastAsia" w:ascii="宋体"/>
              </w:rPr>
              <w:t>护理导论</w:t>
            </w:r>
          </w:p>
        </w:tc>
        <w:tc>
          <w:tcPr>
            <w:tcW w:w="737" w:type="dxa"/>
          </w:tcPr>
          <w:p>
            <w:pPr>
              <w:jc w:val="center"/>
            </w:pPr>
            <w:r>
              <w:rPr>
                <w:rFonts w:hint="eastAsia"/>
              </w:rPr>
              <w:t>1</w:t>
            </w:r>
          </w:p>
        </w:tc>
        <w:tc>
          <w:tcPr>
            <w:tcW w:w="737" w:type="dxa"/>
            <w:vAlign w:val="center"/>
          </w:tcPr>
          <w:p>
            <w:pPr>
              <w:jc w:val="center"/>
            </w:pPr>
            <w:r>
              <w:rPr>
                <w:rFonts w:hint="eastAsia"/>
              </w:rPr>
              <w:t>18</w:t>
            </w:r>
          </w:p>
        </w:tc>
        <w:tc>
          <w:tcPr>
            <w:tcW w:w="576" w:type="dxa"/>
            <w:vAlign w:val="center"/>
          </w:tcPr>
          <w:p>
            <w:pPr>
              <w:jc w:val="center"/>
            </w:pPr>
            <w:r>
              <w:rPr>
                <w:rFonts w:hint="eastAsia"/>
              </w:rPr>
              <w:t>6</w:t>
            </w:r>
          </w:p>
        </w:tc>
        <w:tc>
          <w:tcPr>
            <w:tcW w:w="500" w:type="dxa"/>
            <w:vAlign w:val="center"/>
          </w:tcPr>
          <w:p>
            <w:pPr>
              <w:jc w:val="center"/>
            </w:pPr>
          </w:p>
        </w:tc>
        <w:tc>
          <w:tcPr>
            <w:tcW w:w="579" w:type="dxa"/>
            <w:vAlign w:val="center"/>
          </w:tcPr>
          <w:p>
            <w:pPr>
              <w:jc w:val="center"/>
            </w:pPr>
            <w:r>
              <w:rPr>
                <w:rFonts w:hint="eastAsia"/>
              </w:rPr>
              <w:t>12</w:t>
            </w:r>
          </w:p>
        </w:tc>
        <w:tc>
          <w:tcPr>
            <w:tcW w:w="491" w:type="dxa"/>
            <w:vAlign w:val="center"/>
          </w:tcPr>
          <w:p>
            <w:pPr>
              <w:jc w:val="center"/>
            </w:pPr>
          </w:p>
        </w:tc>
        <w:tc>
          <w:tcPr>
            <w:tcW w:w="491" w:type="dxa"/>
            <w:vAlign w:val="center"/>
          </w:tcPr>
          <w:p>
            <w:pPr>
              <w:jc w:val="center"/>
            </w:pPr>
            <w:r>
              <w:rPr>
                <w:rFonts w:hint="eastAsia"/>
              </w:rPr>
              <w:t>6</w:t>
            </w:r>
          </w:p>
        </w:tc>
        <w:tc>
          <w:tcPr>
            <w:tcW w:w="492" w:type="dxa"/>
            <w:vAlign w:val="center"/>
          </w:tcPr>
          <w:p>
            <w:pPr>
              <w:jc w:val="center"/>
            </w:pPr>
          </w:p>
        </w:tc>
        <w:tc>
          <w:tcPr>
            <w:tcW w:w="492" w:type="dxa"/>
            <w:vAlign w:val="center"/>
          </w:tcPr>
          <w:p>
            <w:pPr>
              <w:jc w:val="center"/>
            </w:pPr>
          </w:p>
        </w:tc>
        <w:tc>
          <w:tcPr>
            <w:tcW w:w="493" w:type="dxa"/>
            <w:vAlign w:val="center"/>
          </w:tcPr>
          <w:p>
            <w:pPr>
              <w:jc w:val="center"/>
            </w:pPr>
          </w:p>
        </w:tc>
        <w:tc>
          <w:tcPr>
            <w:tcW w:w="646" w:type="dxa"/>
            <w:vAlign w:val="center"/>
          </w:tcPr>
          <w:p>
            <w:pPr>
              <w:jc w:val="center"/>
            </w:pPr>
            <w:r>
              <w:rPr>
                <w:rFonts w:hint="eastAsia"/>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Merge w:val="continue"/>
            <w:vAlign w:val="center"/>
          </w:tcPr>
          <w:p>
            <w:pPr>
              <w:jc w:val="center"/>
              <w:rPr>
                <w:rFonts w:ascii="黑体" w:eastAsia="黑体"/>
                <w:b/>
                <w:bCs/>
              </w:rPr>
            </w:pPr>
          </w:p>
        </w:tc>
        <w:tc>
          <w:tcPr>
            <w:tcW w:w="493" w:type="dxa"/>
            <w:vAlign w:val="center"/>
          </w:tcPr>
          <w:p>
            <w:pPr>
              <w:jc w:val="center"/>
              <w:rPr>
                <w:rFonts w:hint="default" w:eastAsia="宋体"/>
                <w:sz w:val="18"/>
                <w:szCs w:val="18"/>
                <w:lang w:val="en-US" w:eastAsia="zh-CN"/>
              </w:rPr>
            </w:pPr>
            <w:r>
              <w:rPr>
                <w:rFonts w:hint="eastAsia"/>
                <w:sz w:val="18"/>
                <w:szCs w:val="18"/>
                <w:lang w:val="en-US" w:eastAsia="zh-CN"/>
              </w:rPr>
              <w:t>10</w:t>
            </w:r>
          </w:p>
        </w:tc>
        <w:tc>
          <w:tcPr>
            <w:tcW w:w="2557" w:type="dxa"/>
            <w:vAlign w:val="center"/>
          </w:tcPr>
          <w:p>
            <w:pPr>
              <w:jc w:val="center"/>
            </w:pPr>
            <w:r>
              <w:rPr>
                <w:rFonts w:hint="eastAsia"/>
              </w:rPr>
              <w:t>生理学</w:t>
            </w:r>
          </w:p>
        </w:tc>
        <w:tc>
          <w:tcPr>
            <w:tcW w:w="737" w:type="dxa"/>
          </w:tcPr>
          <w:p>
            <w:pPr>
              <w:jc w:val="center"/>
            </w:pPr>
            <w:r>
              <w:rPr>
                <w:rFonts w:hint="eastAsia"/>
              </w:rPr>
              <w:t>3</w:t>
            </w:r>
          </w:p>
        </w:tc>
        <w:tc>
          <w:tcPr>
            <w:tcW w:w="737" w:type="dxa"/>
            <w:vAlign w:val="center"/>
          </w:tcPr>
          <w:p>
            <w:pPr>
              <w:jc w:val="center"/>
            </w:pPr>
            <w:r>
              <w:rPr>
                <w:rFonts w:hint="eastAsia"/>
              </w:rPr>
              <w:t>54</w:t>
            </w:r>
          </w:p>
        </w:tc>
        <w:tc>
          <w:tcPr>
            <w:tcW w:w="576" w:type="dxa"/>
            <w:vAlign w:val="center"/>
          </w:tcPr>
          <w:p>
            <w:pPr>
              <w:jc w:val="center"/>
            </w:pPr>
            <w:r>
              <w:rPr>
                <w:rFonts w:hint="eastAsia"/>
              </w:rPr>
              <w:t>12</w:t>
            </w:r>
          </w:p>
        </w:tc>
        <w:tc>
          <w:tcPr>
            <w:tcW w:w="500" w:type="dxa"/>
            <w:vAlign w:val="center"/>
          </w:tcPr>
          <w:p>
            <w:pPr>
              <w:jc w:val="center"/>
            </w:pPr>
            <w:r>
              <w:rPr>
                <w:rFonts w:hint="eastAsia"/>
              </w:rPr>
              <w:t>6</w:t>
            </w:r>
          </w:p>
        </w:tc>
        <w:tc>
          <w:tcPr>
            <w:tcW w:w="579" w:type="dxa"/>
            <w:vAlign w:val="center"/>
          </w:tcPr>
          <w:p>
            <w:pPr>
              <w:jc w:val="center"/>
            </w:pPr>
            <w:r>
              <w:rPr>
                <w:rFonts w:hint="eastAsia"/>
              </w:rPr>
              <w:t>36</w:t>
            </w:r>
          </w:p>
        </w:tc>
        <w:tc>
          <w:tcPr>
            <w:tcW w:w="491" w:type="dxa"/>
            <w:vAlign w:val="center"/>
          </w:tcPr>
          <w:p>
            <w:pPr>
              <w:jc w:val="center"/>
            </w:pPr>
          </w:p>
        </w:tc>
        <w:tc>
          <w:tcPr>
            <w:tcW w:w="491" w:type="dxa"/>
            <w:vAlign w:val="center"/>
          </w:tcPr>
          <w:p>
            <w:pPr>
              <w:jc w:val="center"/>
            </w:pPr>
            <w:r>
              <w:rPr>
                <w:rFonts w:hint="eastAsia"/>
              </w:rPr>
              <w:t>18</w:t>
            </w:r>
          </w:p>
        </w:tc>
        <w:tc>
          <w:tcPr>
            <w:tcW w:w="492" w:type="dxa"/>
            <w:vAlign w:val="center"/>
          </w:tcPr>
          <w:p>
            <w:pPr>
              <w:jc w:val="center"/>
            </w:pPr>
          </w:p>
        </w:tc>
        <w:tc>
          <w:tcPr>
            <w:tcW w:w="492" w:type="dxa"/>
            <w:vAlign w:val="center"/>
          </w:tcPr>
          <w:p>
            <w:pPr>
              <w:jc w:val="center"/>
            </w:pPr>
          </w:p>
        </w:tc>
        <w:tc>
          <w:tcPr>
            <w:tcW w:w="493" w:type="dxa"/>
            <w:vAlign w:val="center"/>
          </w:tcPr>
          <w:p>
            <w:pPr>
              <w:jc w:val="center"/>
            </w:pPr>
          </w:p>
        </w:tc>
        <w:tc>
          <w:tcPr>
            <w:tcW w:w="646" w:type="dxa"/>
            <w:vAlign w:val="center"/>
          </w:tcPr>
          <w:p>
            <w:pPr>
              <w:jc w:val="center"/>
            </w:pPr>
            <w:r>
              <w:rPr>
                <w:rFonts w:hint="eastAsia"/>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93" w:type="dxa"/>
            <w:vMerge w:val="continue"/>
            <w:vAlign w:val="center"/>
          </w:tcPr>
          <w:p>
            <w:pPr>
              <w:jc w:val="center"/>
              <w:rPr>
                <w:rFonts w:ascii="黑体" w:eastAsia="黑体"/>
                <w:b/>
                <w:bCs/>
              </w:rPr>
            </w:pPr>
          </w:p>
        </w:tc>
        <w:tc>
          <w:tcPr>
            <w:tcW w:w="493" w:type="dxa"/>
            <w:vAlign w:val="center"/>
          </w:tcPr>
          <w:p>
            <w:pPr>
              <w:jc w:val="center"/>
              <w:rPr>
                <w:sz w:val="18"/>
                <w:szCs w:val="18"/>
              </w:rPr>
            </w:pPr>
            <w:r>
              <w:rPr>
                <w:rFonts w:hint="eastAsia"/>
                <w:sz w:val="18"/>
                <w:szCs w:val="18"/>
              </w:rPr>
              <w:t>1</w:t>
            </w:r>
            <w:r>
              <w:rPr>
                <w:rFonts w:hint="eastAsia"/>
                <w:sz w:val="18"/>
                <w:szCs w:val="18"/>
                <w:lang w:val="en-US" w:eastAsia="zh-CN"/>
              </w:rPr>
              <w:t>1</w:t>
            </w:r>
          </w:p>
        </w:tc>
        <w:tc>
          <w:tcPr>
            <w:tcW w:w="2557" w:type="dxa"/>
            <w:vAlign w:val="center"/>
          </w:tcPr>
          <w:p>
            <w:pPr>
              <w:jc w:val="center"/>
              <w:rPr>
                <w:rFonts w:ascii="宋体"/>
              </w:rPr>
            </w:pPr>
            <w:r>
              <w:rPr>
                <w:rFonts w:hint="eastAsia" w:ascii="宋体"/>
              </w:rPr>
              <w:t>病理生理学</w:t>
            </w:r>
          </w:p>
        </w:tc>
        <w:tc>
          <w:tcPr>
            <w:tcW w:w="737" w:type="dxa"/>
          </w:tcPr>
          <w:p>
            <w:pPr>
              <w:jc w:val="center"/>
            </w:pPr>
            <w:r>
              <w:rPr>
                <w:rFonts w:hint="eastAsia"/>
              </w:rPr>
              <w:t>2</w:t>
            </w:r>
          </w:p>
        </w:tc>
        <w:tc>
          <w:tcPr>
            <w:tcW w:w="737" w:type="dxa"/>
            <w:vAlign w:val="center"/>
          </w:tcPr>
          <w:p>
            <w:pPr>
              <w:jc w:val="center"/>
            </w:pPr>
            <w:r>
              <w:rPr>
                <w:rFonts w:hint="eastAsia"/>
              </w:rPr>
              <w:t>36</w:t>
            </w:r>
          </w:p>
        </w:tc>
        <w:tc>
          <w:tcPr>
            <w:tcW w:w="576" w:type="dxa"/>
            <w:vAlign w:val="center"/>
          </w:tcPr>
          <w:p>
            <w:pPr>
              <w:jc w:val="center"/>
            </w:pPr>
            <w:r>
              <w:rPr>
                <w:rFonts w:hint="eastAsia"/>
              </w:rPr>
              <w:t>8</w:t>
            </w:r>
          </w:p>
        </w:tc>
        <w:tc>
          <w:tcPr>
            <w:tcW w:w="500" w:type="dxa"/>
            <w:vAlign w:val="center"/>
          </w:tcPr>
          <w:p>
            <w:pPr>
              <w:jc w:val="center"/>
            </w:pPr>
            <w:r>
              <w:rPr>
                <w:rFonts w:hint="eastAsia"/>
              </w:rPr>
              <w:t>4</w:t>
            </w:r>
          </w:p>
        </w:tc>
        <w:tc>
          <w:tcPr>
            <w:tcW w:w="579" w:type="dxa"/>
            <w:vAlign w:val="center"/>
          </w:tcPr>
          <w:p>
            <w:pPr>
              <w:jc w:val="center"/>
            </w:pPr>
            <w:r>
              <w:rPr>
                <w:rFonts w:hint="eastAsia"/>
              </w:rPr>
              <w:t>24</w:t>
            </w:r>
          </w:p>
        </w:tc>
        <w:tc>
          <w:tcPr>
            <w:tcW w:w="491" w:type="dxa"/>
            <w:vAlign w:val="center"/>
          </w:tcPr>
          <w:p>
            <w:pPr>
              <w:jc w:val="center"/>
            </w:pPr>
          </w:p>
        </w:tc>
        <w:tc>
          <w:tcPr>
            <w:tcW w:w="491" w:type="dxa"/>
            <w:vAlign w:val="center"/>
          </w:tcPr>
          <w:p>
            <w:pPr>
              <w:jc w:val="center"/>
            </w:pPr>
          </w:p>
        </w:tc>
        <w:tc>
          <w:tcPr>
            <w:tcW w:w="492" w:type="dxa"/>
            <w:vAlign w:val="center"/>
          </w:tcPr>
          <w:p>
            <w:pPr>
              <w:jc w:val="center"/>
            </w:pPr>
            <w:r>
              <w:rPr>
                <w:rFonts w:hint="eastAsia"/>
              </w:rPr>
              <w:t>12</w:t>
            </w:r>
          </w:p>
        </w:tc>
        <w:tc>
          <w:tcPr>
            <w:tcW w:w="492" w:type="dxa"/>
            <w:vAlign w:val="center"/>
          </w:tcPr>
          <w:p>
            <w:pPr>
              <w:jc w:val="center"/>
            </w:pPr>
          </w:p>
        </w:tc>
        <w:tc>
          <w:tcPr>
            <w:tcW w:w="493" w:type="dxa"/>
            <w:vAlign w:val="center"/>
          </w:tcPr>
          <w:p>
            <w:pPr>
              <w:jc w:val="center"/>
            </w:pPr>
          </w:p>
        </w:tc>
        <w:tc>
          <w:tcPr>
            <w:tcW w:w="646" w:type="dxa"/>
            <w:vAlign w:val="center"/>
          </w:tcPr>
          <w:p>
            <w:pPr>
              <w:jc w:val="center"/>
            </w:pPr>
            <w:r>
              <w:rPr>
                <w:rFonts w:hint="eastAsia"/>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Merge w:val="continue"/>
            <w:vAlign w:val="center"/>
          </w:tcPr>
          <w:p>
            <w:pPr>
              <w:jc w:val="center"/>
              <w:rPr>
                <w:rFonts w:ascii="黑体" w:eastAsia="黑体"/>
                <w:b/>
                <w:bCs/>
              </w:rPr>
            </w:pPr>
          </w:p>
        </w:tc>
        <w:tc>
          <w:tcPr>
            <w:tcW w:w="493" w:type="dxa"/>
            <w:vAlign w:val="center"/>
          </w:tcPr>
          <w:p>
            <w:pPr>
              <w:jc w:val="center"/>
              <w:rPr>
                <w:sz w:val="18"/>
                <w:szCs w:val="18"/>
              </w:rPr>
            </w:pPr>
            <w:r>
              <w:rPr>
                <w:sz w:val="18"/>
                <w:szCs w:val="18"/>
              </w:rPr>
              <w:t>1</w:t>
            </w:r>
            <w:r>
              <w:rPr>
                <w:rFonts w:hint="eastAsia"/>
                <w:sz w:val="18"/>
                <w:szCs w:val="18"/>
                <w:lang w:val="en-US" w:eastAsia="zh-CN"/>
              </w:rPr>
              <w:t>2</w:t>
            </w:r>
          </w:p>
        </w:tc>
        <w:tc>
          <w:tcPr>
            <w:tcW w:w="2557" w:type="dxa"/>
            <w:vAlign w:val="center"/>
          </w:tcPr>
          <w:p>
            <w:pPr>
              <w:ind w:firstLine="420" w:firstLineChars="200"/>
              <w:jc w:val="both"/>
              <w:rPr>
                <w:rFonts w:ascii="宋体"/>
              </w:rPr>
            </w:pPr>
            <w:r>
              <w:rPr>
                <w:rFonts w:hint="eastAsia" w:ascii="宋体"/>
              </w:rPr>
              <w:t>病原学与免疫学</w:t>
            </w:r>
          </w:p>
        </w:tc>
        <w:tc>
          <w:tcPr>
            <w:tcW w:w="737" w:type="dxa"/>
          </w:tcPr>
          <w:p>
            <w:pPr>
              <w:jc w:val="center"/>
            </w:pPr>
            <w:r>
              <w:rPr>
                <w:rFonts w:hint="eastAsia"/>
              </w:rPr>
              <w:t>2</w:t>
            </w:r>
          </w:p>
        </w:tc>
        <w:tc>
          <w:tcPr>
            <w:tcW w:w="737" w:type="dxa"/>
            <w:vAlign w:val="center"/>
          </w:tcPr>
          <w:p>
            <w:pPr>
              <w:jc w:val="center"/>
            </w:pPr>
            <w:r>
              <w:rPr>
                <w:rFonts w:hint="eastAsia"/>
              </w:rPr>
              <w:t>36</w:t>
            </w:r>
          </w:p>
        </w:tc>
        <w:tc>
          <w:tcPr>
            <w:tcW w:w="576" w:type="dxa"/>
            <w:vAlign w:val="center"/>
          </w:tcPr>
          <w:p>
            <w:pPr>
              <w:jc w:val="center"/>
            </w:pPr>
            <w:r>
              <w:rPr>
                <w:rFonts w:hint="eastAsia"/>
              </w:rPr>
              <w:t>8</w:t>
            </w:r>
          </w:p>
        </w:tc>
        <w:tc>
          <w:tcPr>
            <w:tcW w:w="500" w:type="dxa"/>
            <w:vAlign w:val="center"/>
          </w:tcPr>
          <w:p>
            <w:pPr>
              <w:jc w:val="center"/>
            </w:pPr>
            <w:r>
              <w:rPr>
                <w:rFonts w:hint="eastAsia"/>
              </w:rPr>
              <w:t>4</w:t>
            </w:r>
          </w:p>
        </w:tc>
        <w:tc>
          <w:tcPr>
            <w:tcW w:w="579" w:type="dxa"/>
            <w:vAlign w:val="center"/>
          </w:tcPr>
          <w:p>
            <w:pPr>
              <w:jc w:val="center"/>
            </w:pPr>
            <w:r>
              <w:rPr>
                <w:rFonts w:hint="eastAsia"/>
              </w:rPr>
              <w:t>24</w:t>
            </w:r>
          </w:p>
        </w:tc>
        <w:tc>
          <w:tcPr>
            <w:tcW w:w="491" w:type="dxa"/>
            <w:vAlign w:val="center"/>
          </w:tcPr>
          <w:p>
            <w:pPr>
              <w:jc w:val="center"/>
            </w:pPr>
          </w:p>
        </w:tc>
        <w:tc>
          <w:tcPr>
            <w:tcW w:w="491" w:type="dxa"/>
            <w:vAlign w:val="center"/>
          </w:tcPr>
          <w:p>
            <w:pPr>
              <w:jc w:val="center"/>
            </w:pPr>
          </w:p>
        </w:tc>
        <w:tc>
          <w:tcPr>
            <w:tcW w:w="492" w:type="dxa"/>
            <w:vAlign w:val="center"/>
          </w:tcPr>
          <w:p>
            <w:pPr>
              <w:jc w:val="center"/>
            </w:pPr>
            <w:r>
              <w:rPr>
                <w:rFonts w:hint="eastAsia"/>
              </w:rPr>
              <w:t>12</w:t>
            </w:r>
          </w:p>
        </w:tc>
        <w:tc>
          <w:tcPr>
            <w:tcW w:w="492" w:type="dxa"/>
            <w:vAlign w:val="center"/>
          </w:tcPr>
          <w:p>
            <w:pPr>
              <w:jc w:val="center"/>
            </w:pPr>
          </w:p>
        </w:tc>
        <w:tc>
          <w:tcPr>
            <w:tcW w:w="493" w:type="dxa"/>
            <w:vAlign w:val="center"/>
          </w:tcPr>
          <w:p>
            <w:pPr>
              <w:jc w:val="center"/>
            </w:pPr>
          </w:p>
        </w:tc>
        <w:tc>
          <w:tcPr>
            <w:tcW w:w="646" w:type="dxa"/>
            <w:vAlign w:val="center"/>
          </w:tcPr>
          <w:p>
            <w:pPr>
              <w:jc w:val="center"/>
            </w:pPr>
            <w:r>
              <w:rPr>
                <w:rFonts w:hint="eastAsia"/>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Merge w:val="continue"/>
            <w:tcBorders>
              <w:bottom w:val="single" w:color="auto" w:sz="4" w:space="0"/>
            </w:tcBorders>
            <w:vAlign w:val="center"/>
          </w:tcPr>
          <w:p>
            <w:pPr>
              <w:jc w:val="center"/>
              <w:rPr>
                <w:b/>
                <w:bCs/>
              </w:rPr>
            </w:pPr>
          </w:p>
        </w:tc>
        <w:tc>
          <w:tcPr>
            <w:tcW w:w="493" w:type="dxa"/>
            <w:vAlign w:val="center"/>
          </w:tcPr>
          <w:p>
            <w:pPr>
              <w:jc w:val="center"/>
              <w:rPr>
                <w:rFonts w:hint="eastAsia" w:eastAsia="宋体"/>
                <w:sz w:val="18"/>
                <w:szCs w:val="18"/>
                <w:lang w:val="en-US" w:eastAsia="zh-CN"/>
              </w:rPr>
            </w:pPr>
            <w:r>
              <w:rPr>
                <w:sz w:val="18"/>
                <w:szCs w:val="18"/>
              </w:rPr>
              <w:t>1</w:t>
            </w:r>
            <w:r>
              <w:rPr>
                <w:rFonts w:hint="eastAsia"/>
                <w:sz w:val="18"/>
                <w:szCs w:val="18"/>
                <w:lang w:val="en-US" w:eastAsia="zh-CN"/>
              </w:rPr>
              <w:t>3</w:t>
            </w:r>
          </w:p>
        </w:tc>
        <w:tc>
          <w:tcPr>
            <w:tcW w:w="2557" w:type="dxa"/>
            <w:vAlign w:val="center"/>
          </w:tcPr>
          <w:p>
            <w:pPr>
              <w:jc w:val="center"/>
              <w:rPr>
                <w:rFonts w:ascii="宋体"/>
              </w:rPr>
            </w:pPr>
            <w:r>
              <w:rPr>
                <w:rFonts w:hint="eastAsia" w:ascii="宋体"/>
                <w:lang w:val="en-US" w:eastAsia="zh-CN"/>
              </w:rPr>
              <w:t>临床</w:t>
            </w:r>
            <w:r>
              <w:rPr>
                <w:rFonts w:hint="eastAsia" w:ascii="宋体"/>
              </w:rPr>
              <w:t>药理</w:t>
            </w:r>
            <w:r>
              <w:rPr>
                <w:rFonts w:hint="eastAsia" w:ascii="宋体"/>
                <w:lang w:val="en-US" w:eastAsia="zh-CN"/>
              </w:rPr>
              <w:t>学</w:t>
            </w:r>
          </w:p>
        </w:tc>
        <w:tc>
          <w:tcPr>
            <w:tcW w:w="737" w:type="dxa"/>
          </w:tcPr>
          <w:p>
            <w:pPr>
              <w:jc w:val="center"/>
            </w:pPr>
            <w:r>
              <w:rPr>
                <w:rFonts w:hint="eastAsia"/>
              </w:rPr>
              <w:t>3</w:t>
            </w:r>
          </w:p>
        </w:tc>
        <w:tc>
          <w:tcPr>
            <w:tcW w:w="737" w:type="dxa"/>
            <w:vAlign w:val="center"/>
          </w:tcPr>
          <w:p>
            <w:pPr>
              <w:jc w:val="center"/>
            </w:pPr>
            <w:r>
              <w:rPr>
                <w:rFonts w:hint="eastAsia"/>
              </w:rPr>
              <w:t>54</w:t>
            </w:r>
          </w:p>
        </w:tc>
        <w:tc>
          <w:tcPr>
            <w:tcW w:w="576" w:type="dxa"/>
            <w:vAlign w:val="center"/>
          </w:tcPr>
          <w:p>
            <w:pPr>
              <w:jc w:val="center"/>
            </w:pPr>
            <w:r>
              <w:rPr>
                <w:rFonts w:hint="eastAsia"/>
              </w:rPr>
              <w:t>14</w:t>
            </w:r>
          </w:p>
        </w:tc>
        <w:tc>
          <w:tcPr>
            <w:tcW w:w="500" w:type="dxa"/>
            <w:vAlign w:val="center"/>
          </w:tcPr>
          <w:p>
            <w:pPr>
              <w:jc w:val="center"/>
            </w:pPr>
            <w:r>
              <w:rPr>
                <w:rFonts w:hint="eastAsia"/>
              </w:rPr>
              <w:t>4</w:t>
            </w:r>
          </w:p>
        </w:tc>
        <w:tc>
          <w:tcPr>
            <w:tcW w:w="579" w:type="dxa"/>
            <w:vAlign w:val="center"/>
          </w:tcPr>
          <w:p>
            <w:pPr>
              <w:jc w:val="center"/>
            </w:pPr>
            <w:r>
              <w:rPr>
                <w:rFonts w:hint="eastAsia"/>
              </w:rPr>
              <w:t>36</w:t>
            </w:r>
          </w:p>
        </w:tc>
        <w:tc>
          <w:tcPr>
            <w:tcW w:w="491" w:type="dxa"/>
            <w:vAlign w:val="center"/>
          </w:tcPr>
          <w:p>
            <w:pPr>
              <w:jc w:val="center"/>
            </w:pPr>
          </w:p>
        </w:tc>
        <w:tc>
          <w:tcPr>
            <w:tcW w:w="491" w:type="dxa"/>
            <w:vAlign w:val="center"/>
          </w:tcPr>
          <w:p>
            <w:pPr>
              <w:jc w:val="center"/>
            </w:pPr>
          </w:p>
        </w:tc>
        <w:tc>
          <w:tcPr>
            <w:tcW w:w="492" w:type="dxa"/>
            <w:vAlign w:val="center"/>
          </w:tcPr>
          <w:p>
            <w:pPr>
              <w:jc w:val="center"/>
            </w:pPr>
            <w:r>
              <w:rPr>
                <w:rFonts w:hint="eastAsia"/>
              </w:rPr>
              <w:t>18</w:t>
            </w:r>
          </w:p>
        </w:tc>
        <w:tc>
          <w:tcPr>
            <w:tcW w:w="492" w:type="dxa"/>
            <w:vAlign w:val="center"/>
          </w:tcPr>
          <w:p>
            <w:pPr>
              <w:jc w:val="center"/>
            </w:pPr>
          </w:p>
        </w:tc>
        <w:tc>
          <w:tcPr>
            <w:tcW w:w="493" w:type="dxa"/>
            <w:vAlign w:val="center"/>
          </w:tcPr>
          <w:p>
            <w:pPr>
              <w:jc w:val="center"/>
            </w:pPr>
          </w:p>
        </w:tc>
        <w:tc>
          <w:tcPr>
            <w:tcW w:w="646" w:type="dxa"/>
            <w:vAlign w:val="center"/>
          </w:tcPr>
          <w:p>
            <w:pPr>
              <w:jc w:val="center"/>
            </w:pPr>
            <w:r>
              <w:rPr>
                <w:rFonts w:hint="eastAsia"/>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Merge w:val="restart"/>
            <w:tcBorders>
              <w:top w:val="single" w:color="auto" w:sz="4" w:space="0"/>
              <w:left w:val="single" w:color="auto" w:sz="4" w:space="0"/>
              <w:right w:val="single" w:color="auto" w:sz="4" w:space="0"/>
            </w:tcBorders>
            <w:vAlign w:val="center"/>
          </w:tcPr>
          <w:p>
            <w:pPr>
              <w:jc w:val="center"/>
              <w:rPr>
                <w:b/>
                <w:bCs/>
              </w:rPr>
            </w:pPr>
            <w:r>
              <w:rPr>
                <w:rFonts w:hint="eastAsia" w:ascii="黑体" w:eastAsia="黑体" w:cs="黑体"/>
                <w:b/>
                <w:bCs/>
              </w:rPr>
              <w:t>专业课</w:t>
            </w:r>
          </w:p>
        </w:tc>
        <w:tc>
          <w:tcPr>
            <w:tcW w:w="493" w:type="dxa"/>
            <w:tcBorders>
              <w:left w:val="single" w:color="auto" w:sz="4" w:space="0"/>
            </w:tcBorders>
            <w:vAlign w:val="center"/>
          </w:tcPr>
          <w:p>
            <w:pPr>
              <w:jc w:val="center"/>
              <w:rPr>
                <w:sz w:val="18"/>
                <w:szCs w:val="18"/>
              </w:rPr>
            </w:pPr>
            <w:r>
              <w:rPr>
                <w:sz w:val="18"/>
                <w:szCs w:val="18"/>
              </w:rPr>
              <w:t>1</w:t>
            </w:r>
            <w:r>
              <w:rPr>
                <w:rFonts w:hint="eastAsia"/>
                <w:sz w:val="18"/>
                <w:szCs w:val="18"/>
                <w:lang w:val="en-US" w:eastAsia="zh-CN"/>
              </w:rPr>
              <w:t>4</w:t>
            </w:r>
          </w:p>
        </w:tc>
        <w:tc>
          <w:tcPr>
            <w:tcW w:w="2557" w:type="dxa"/>
            <w:vAlign w:val="center"/>
          </w:tcPr>
          <w:p>
            <w:pPr>
              <w:jc w:val="center"/>
              <w:rPr>
                <w:rFonts w:ascii="宋体"/>
              </w:rPr>
            </w:pPr>
            <w:r>
              <w:rPr>
                <w:rFonts w:hint="eastAsia" w:ascii="宋体" w:hAnsi="宋体"/>
                <w:sz w:val="24"/>
                <w:szCs w:val="24"/>
              </w:rPr>
              <w:t>*</w:t>
            </w:r>
            <w:r>
              <w:rPr>
                <w:rFonts w:hint="eastAsia" w:ascii="宋体"/>
              </w:rPr>
              <w:t>基础护理学</w:t>
            </w:r>
          </w:p>
        </w:tc>
        <w:tc>
          <w:tcPr>
            <w:tcW w:w="737" w:type="dxa"/>
          </w:tcPr>
          <w:p>
            <w:pPr>
              <w:jc w:val="center"/>
            </w:pPr>
            <w:r>
              <w:rPr>
                <w:rFonts w:hint="eastAsia"/>
              </w:rPr>
              <w:t>7</w:t>
            </w:r>
          </w:p>
        </w:tc>
        <w:tc>
          <w:tcPr>
            <w:tcW w:w="737" w:type="dxa"/>
            <w:vAlign w:val="center"/>
          </w:tcPr>
          <w:p>
            <w:pPr>
              <w:jc w:val="center"/>
            </w:pPr>
            <w:r>
              <w:rPr>
                <w:rFonts w:hint="eastAsia"/>
              </w:rPr>
              <w:t>126</w:t>
            </w:r>
          </w:p>
        </w:tc>
        <w:tc>
          <w:tcPr>
            <w:tcW w:w="576" w:type="dxa"/>
            <w:vAlign w:val="center"/>
          </w:tcPr>
          <w:p>
            <w:pPr>
              <w:jc w:val="center"/>
            </w:pPr>
            <w:r>
              <w:rPr>
                <w:rFonts w:hint="eastAsia"/>
              </w:rPr>
              <w:t>30</w:t>
            </w:r>
          </w:p>
        </w:tc>
        <w:tc>
          <w:tcPr>
            <w:tcW w:w="500" w:type="dxa"/>
            <w:vAlign w:val="center"/>
          </w:tcPr>
          <w:p>
            <w:pPr>
              <w:jc w:val="center"/>
            </w:pPr>
            <w:r>
              <w:rPr>
                <w:rFonts w:hint="eastAsia"/>
              </w:rPr>
              <w:t>12</w:t>
            </w:r>
          </w:p>
        </w:tc>
        <w:tc>
          <w:tcPr>
            <w:tcW w:w="579" w:type="dxa"/>
            <w:vAlign w:val="center"/>
          </w:tcPr>
          <w:p>
            <w:pPr>
              <w:jc w:val="center"/>
            </w:pPr>
            <w:r>
              <w:rPr>
                <w:rFonts w:hint="eastAsia"/>
              </w:rPr>
              <w:t>84</w:t>
            </w:r>
          </w:p>
        </w:tc>
        <w:tc>
          <w:tcPr>
            <w:tcW w:w="491" w:type="dxa"/>
            <w:vAlign w:val="center"/>
          </w:tcPr>
          <w:p>
            <w:pPr>
              <w:jc w:val="center"/>
            </w:pPr>
          </w:p>
        </w:tc>
        <w:tc>
          <w:tcPr>
            <w:tcW w:w="491" w:type="dxa"/>
            <w:vAlign w:val="center"/>
          </w:tcPr>
          <w:p>
            <w:pPr>
              <w:jc w:val="center"/>
            </w:pPr>
          </w:p>
        </w:tc>
        <w:tc>
          <w:tcPr>
            <w:tcW w:w="492" w:type="dxa"/>
            <w:vAlign w:val="center"/>
          </w:tcPr>
          <w:p>
            <w:pPr>
              <w:jc w:val="center"/>
            </w:pPr>
            <w:r>
              <w:rPr>
                <w:rFonts w:hint="eastAsia"/>
              </w:rPr>
              <w:t>42</w:t>
            </w:r>
          </w:p>
        </w:tc>
        <w:tc>
          <w:tcPr>
            <w:tcW w:w="492" w:type="dxa"/>
            <w:vAlign w:val="center"/>
          </w:tcPr>
          <w:p>
            <w:pPr>
              <w:jc w:val="center"/>
            </w:pPr>
          </w:p>
        </w:tc>
        <w:tc>
          <w:tcPr>
            <w:tcW w:w="493" w:type="dxa"/>
            <w:vAlign w:val="center"/>
          </w:tcPr>
          <w:p>
            <w:pPr>
              <w:jc w:val="center"/>
            </w:pPr>
          </w:p>
        </w:tc>
        <w:tc>
          <w:tcPr>
            <w:tcW w:w="646" w:type="dxa"/>
            <w:vAlign w:val="center"/>
          </w:tcPr>
          <w:p>
            <w:pPr>
              <w:jc w:val="center"/>
            </w:pPr>
            <w:r>
              <w:rPr>
                <w:rFonts w:hint="eastAsia"/>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Merge w:val="continue"/>
            <w:tcBorders>
              <w:left w:val="single" w:color="auto" w:sz="4" w:space="0"/>
              <w:right w:val="single" w:color="auto" w:sz="4" w:space="0"/>
            </w:tcBorders>
            <w:vAlign w:val="center"/>
          </w:tcPr>
          <w:p>
            <w:pPr>
              <w:jc w:val="center"/>
              <w:rPr>
                <w:b/>
                <w:bCs/>
              </w:rPr>
            </w:pPr>
          </w:p>
        </w:tc>
        <w:tc>
          <w:tcPr>
            <w:tcW w:w="493" w:type="dxa"/>
            <w:tcBorders>
              <w:left w:val="single" w:color="auto" w:sz="4" w:space="0"/>
            </w:tcBorders>
            <w:vAlign w:val="center"/>
          </w:tcPr>
          <w:p>
            <w:pPr>
              <w:jc w:val="center"/>
              <w:rPr>
                <w:sz w:val="18"/>
                <w:szCs w:val="18"/>
              </w:rPr>
            </w:pPr>
            <w:r>
              <w:rPr>
                <w:sz w:val="18"/>
                <w:szCs w:val="18"/>
              </w:rPr>
              <w:t>1</w:t>
            </w:r>
            <w:r>
              <w:rPr>
                <w:rFonts w:hint="eastAsia"/>
                <w:sz w:val="18"/>
                <w:szCs w:val="18"/>
                <w:lang w:val="en-US" w:eastAsia="zh-CN"/>
              </w:rPr>
              <w:t>5</w:t>
            </w:r>
          </w:p>
        </w:tc>
        <w:tc>
          <w:tcPr>
            <w:tcW w:w="2557" w:type="dxa"/>
            <w:vAlign w:val="center"/>
          </w:tcPr>
          <w:p>
            <w:pPr>
              <w:jc w:val="center"/>
              <w:rPr>
                <w:rFonts w:ascii="宋体"/>
              </w:rPr>
            </w:pPr>
            <w:r>
              <w:rPr>
                <w:rFonts w:hint="eastAsia" w:ascii="宋体" w:hAnsi="宋体"/>
                <w:sz w:val="24"/>
                <w:szCs w:val="24"/>
              </w:rPr>
              <w:t>*</w:t>
            </w:r>
            <w:r>
              <w:rPr>
                <w:rFonts w:hint="eastAsia" w:ascii="宋体"/>
              </w:rPr>
              <w:t>内科护理学</w:t>
            </w:r>
          </w:p>
        </w:tc>
        <w:tc>
          <w:tcPr>
            <w:tcW w:w="737" w:type="dxa"/>
          </w:tcPr>
          <w:p>
            <w:pPr>
              <w:jc w:val="center"/>
            </w:pPr>
            <w:r>
              <w:rPr>
                <w:rFonts w:hint="eastAsia"/>
              </w:rPr>
              <w:t>6</w:t>
            </w:r>
          </w:p>
        </w:tc>
        <w:tc>
          <w:tcPr>
            <w:tcW w:w="737" w:type="dxa"/>
            <w:vAlign w:val="center"/>
          </w:tcPr>
          <w:p>
            <w:pPr>
              <w:jc w:val="center"/>
            </w:pPr>
            <w:r>
              <w:rPr>
                <w:rFonts w:hint="eastAsia"/>
              </w:rPr>
              <w:t>108</w:t>
            </w:r>
          </w:p>
        </w:tc>
        <w:tc>
          <w:tcPr>
            <w:tcW w:w="576" w:type="dxa"/>
            <w:vAlign w:val="center"/>
          </w:tcPr>
          <w:p>
            <w:pPr>
              <w:jc w:val="center"/>
            </w:pPr>
            <w:r>
              <w:rPr>
                <w:rFonts w:hint="eastAsia"/>
              </w:rPr>
              <w:t>24</w:t>
            </w:r>
          </w:p>
        </w:tc>
        <w:tc>
          <w:tcPr>
            <w:tcW w:w="500" w:type="dxa"/>
            <w:vAlign w:val="center"/>
          </w:tcPr>
          <w:p>
            <w:pPr>
              <w:jc w:val="center"/>
            </w:pPr>
            <w:r>
              <w:rPr>
                <w:rFonts w:hint="eastAsia"/>
              </w:rPr>
              <w:t>12</w:t>
            </w:r>
          </w:p>
        </w:tc>
        <w:tc>
          <w:tcPr>
            <w:tcW w:w="579" w:type="dxa"/>
            <w:vAlign w:val="center"/>
          </w:tcPr>
          <w:p>
            <w:pPr>
              <w:jc w:val="center"/>
            </w:pPr>
            <w:r>
              <w:rPr>
                <w:rFonts w:hint="eastAsia"/>
              </w:rPr>
              <w:t>72</w:t>
            </w:r>
          </w:p>
        </w:tc>
        <w:tc>
          <w:tcPr>
            <w:tcW w:w="491" w:type="dxa"/>
            <w:vAlign w:val="center"/>
          </w:tcPr>
          <w:p>
            <w:pPr>
              <w:jc w:val="center"/>
            </w:pPr>
          </w:p>
        </w:tc>
        <w:tc>
          <w:tcPr>
            <w:tcW w:w="491" w:type="dxa"/>
            <w:vAlign w:val="center"/>
          </w:tcPr>
          <w:p>
            <w:pPr>
              <w:jc w:val="center"/>
            </w:pPr>
          </w:p>
        </w:tc>
        <w:tc>
          <w:tcPr>
            <w:tcW w:w="492" w:type="dxa"/>
            <w:vAlign w:val="center"/>
          </w:tcPr>
          <w:p>
            <w:pPr>
              <w:jc w:val="center"/>
            </w:pPr>
          </w:p>
        </w:tc>
        <w:tc>
          <w:tcPr>
            <w:tcW w:w="492" w:type="dxa"/>
            <w:vAlign w:val="center"/>
          </w:tcPr>
          <w:p>
            <w:pPr>
              <w:jc w:val="center"/>
            </w:pPr>
            <w:r>
              <w:rPr>
                <w:rFonts w:hint="eastAsia"/>
              </w:rPr>
              <w:t>36</w:t>
            </w:r>
          </w:p>
        </w:tc>
        <w:tc>
          <w:tcPr>
            <w:tcW w:w="493" w:type="dxa"/>
            <w:vAlign w:val="center"/>
          </w:tcPr>
          <w:p>
            <w:pPr>
              <w:jc w:val="center"/>
            </w:pPr>
          </w:p>
        </w:tc>
        <w:tc>
          <w:tcPr>
            <w:tcW w:w="646" w:type="dxa"/>
            <w:vAlign w:val="center"/>
          </w:tcPr>
          <w:p>
            <w:pPr>
              <w:jc w:val="center"/>
            </w:pPr>
            <w:r>
              <w:rPr>
                <w:rFonts w:hint="eastAsia"/>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93" w:type="dxa"/>
            <w:vMerge w:val="continue"/>
            <w:tcBorders>
              <w:left w:val="single" w:color="auto" w:sz="4" w:space="0"/>
              <w:right w:val="single" w:color="auto" w:sz="4" w:space="0"/>
            </w:tcBorders>
            <w:vAlign w:val="center"/>
          </w:tcPr>
          <w:p>
            <w:pPr>
              <w:jc w:val="center"/>
              <w:rPr>
                <w:b/>
                <w:bCs/>
              </w:rPr>
            </w:pPr>
          </w:p>
        </w:tc>
        <w:tc>
          <w:tcPr>
            <w:tcW w:w="493" w:type="dxa"/>
            <w:tcBorders>
              <w:left w:val="single" w:color="auto" w:sz="4" w:space="0"/>
            </w:tcBorders>
            <w:vAlign w:val="center"/>
          </w:tcPr>
          <w:p>
            <w:pPr>
              <w:jc w:val="center"/>
              <w:rPr>
                <w:sz w:val="18"/>
                <w:szCs w:val="18"/>
              </w:rPr>
            </w:pPr>
            <w:r>
              <w:rPr>
                <w:sz w:val="18"/>
                <w:szCs w:val="18"/>
              </w:rPr>
              <w:t>1</w:t>
            </w:r>
            <w:r>
              <w:rPr>
                <w:rFonts w:hint="eastAsia"/>
                <w:sz w:val="18"/>
                <w:szCs w:val="18"/>
                <w:lang w:val="en-US" w:eastAsia="zh-CN"/>
              </w:rPr>
              <w:t>6</w:t>
            </w:r>
          </w:p>
        </w:tc>
        <w:tc>
          <w:tcPr>
            <w:tcW w:w="2557" w:type="dxa"/>
            <w:vAlign w:val="center"/>
          </w:tcPr>
          <w:p>
            <w:pPr>
              <w:jc w:val="center"/>
              <w:rPr>
                <w:rFonts w:ascii="宋体"/>
              </w:rPr>
            </w:pPr>
            <w:r>
              <w:rPr>
                <w:rFonts w:hint="eastAsia" w:ascii="宋体" w:hAnsi="宋体"/>
                <w:sz w:val="24"/>
                <w:szCs w:val="24"/>
              </w:rPr>
              <w:t>*</w:t>
            </w:r>
            <w:r>
              <w:rPr>
                <w:rFonts w:hint="eastAsia" w:ascii="宋体"/>
              </w:rPr>
              <w:t>外科护理学</w:t>
            </w:r>
          </w:p>
        </w:tc>
        <w:tc>
          <w:tcPr>
            <w:tcW w:w="737" w:type="dxa"/>
          </w:tcPr>
          <w:p>
            <w:pPr>
              <w:jc w:val="center"/>
            </w:pPr>
            <w:r>
              <w:rPr>
                <w:rFonts w:hint="eastAsia"/>
              </w:rPr>
              <w:t>5</w:t>
            </w:r>
          </w:p>
        </w:tc>
        <w:tc>
          <w:tcPr>
            <w:tcW w:w="737" w:type="dxa"/>
            <w:vAlign w:val="center"/>
          </w:tcPr>
          <w:p>
            <w:pPr>
              <w:jc w:val="center"/>
            </w:pPr>
            <w:r>
              <w:rPr>
                <w:rFonts w:hint="eastAsia"/>
              </w:rPr>
              <w:t>90</w:t>
            </w:r>
          </w:p>
        </w:tc>
        <w:tc>
          <w:tcPr>
            <w:tcW w:w="576" w:type="dxa"/>
            <w:vAlign w:val="center"/>
          </w:tcPr>
          <w:p>
            <w:pPr>
              <w:jc w:val="center"/>
            </w:pPr>
            <w:r>
              <w:rPr>
                <w:rFonts w:hint="eastAsia"/>
              </w:rPr>
              <w:t>24</w:t>
            </w:r>
          </w:p>
        </w:tc>
        <w:tc>
          <w:tcPr>
            <w:tcW w:w="500" w:type="dxa"/>
            <w:vAlign w:val="center"/>
          </w:tcPr>
          <w:p>
            <w:pPr>
              <w:jc w:val="center"/>
            </w:pPr>
            <w:r>
              <w:rPr>
                <w:rFonts w:hint="eastAsia"/>
              </w:rPr>
              <w:t>6</w:t>
            </w:r>
          </w:p>
        </w:tc>
        <w:tc>
          <w:tcPr>
            <w:tcW w:w="579" w:type="dxa"/>
            <w:vAlign w:val="center"/>
          </w:tcPr>
          <w:p>
            <w:pPr>
              <w:jc w:val="center"/>
            </w:pPr>
            <w:r>
              <w:rPr>
                <w:rFonts w:hint="eastAsia"/>
              </w:rPr>
              <w:t>60</w:t>
            </w:r>
          </w:p>
        </w:tc>
        <w:tc>
          <w:tcPr>
            <w:tcW w:w="491" w:type="dxa"/>
            <w:vAlign w:val="center"/>
          </w:tcPr>
          <w:p>
            <w:pPr>
              <w:jc w:val="center"/>
            </w:pPr>
          </w:p>
        </w:tc>
        <w:tc>
          <w:tcPr>
            <w:tcW w:w="491" w:type="dxa"/>
            <w:vAlign w:val="center"/>
          </w:tcPr>
          <w:p>
            <w:pPr>
              <w:jc w:val="center"/>
            </w:pPr>
          </w:p>
        </w:tc>
        <w:tc>
          <w:tcPr>
            <w:tcW w:w="492" w:type="dxa"/>
            <w:vAlign w:val="center"/>
          </w:tcPr>
          <w:p>
            <w:pPr>
              <w:jc w:val="center"/>
            </w:pPr>
          </w:p>
        </w:tc>
        <w:tc>
          <w:tcPr>
            <w:tcW w:w="492" w:type="dxa"/>
            <w:vAlign w:val="center"/>
          </w:tcPr>
          <w:p>
            <w:pPr>
              <w:jc w:val="center"/>
            </w:pPr>
            <w:r>
              <w:rPr>
                <w:rFonts w:hint="eastAsia"/>
              </w:rPr>
              <w:t>30</w:t>
            </w:r>
          </w:p>
        </w:tc>
        <w:tc>
          <w:tcPr>
            <w:tcW w:w="493" w:type="dxa"/>
            <w:vAlign w:val="center"/>
          </w:tcPr>
          <w:p>
            <w:pPr>
              <w:jc w:val="center"/>
            </w:pPr>
          </w:p>
        </w:tc>
        <w:tc>
          <w:tcPr>
            <w:tcW w:w="646" w:type="dxa"/>
            <w:vAlign w:val="center"/>
          </w:tcPr>
          <w:p>
            <w:pPr>
              <w:jc w:val="center"/>
            </w:pPr>
            <w:r>
              <w:rPr>
                <w:rFonts w:hint="eastAsia"/>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Merge w:val="continue"/>
            <w:tcBorders>
              <w:left w:val="single" w:color="auto" w:sz="4" w:space="0"/>
              <w:right w:val="single" w:color="auto" w:sz="4" w:space="0"/>
            </w:tcBorders>
            <w:vAlign w:val="center"/>
          </w:tcPr>
          <w:p>
            <w:pPr>
              <w:jc w:val="center"/>
              <w:rPr>
                <w:b/>
                <w:bCs/>
              </w:rPr>
            </w:pPr>
          </w:p>
        </w:tc>
        <w:tc>
          <w:tcPr>
            <w:tcW w:w="493" w:type="dxa"/>
            <w:tcBorders>
              <w:left w:val="single" w:color="auto" w:sz="4" w:space="0"/>
            </w:tcBorders>
            <w:vAlign w:val="center"/>
          </w:tcPr>
          <w:p>
            <w:pPr>
              <w:jc w:val="center"/>
              <w:rPr>
                <w:sz w:val="18"/>
                <w:szCs w:val="18"/>
              </w:rPr>
            </w:pPr>
            <w:r>
              <w:rPr>
                <w:rFonts w:hint="eastAsia"/>
                <w:sz w:val="18"/>
                <w:szCs w:val="18"/>
              </w:rPr>
              <w:t>1</w:t>
            </w:r>
            <w:r>
              <w:rPr>
                <w:rFonts w:hint="eastAsia"/>
                <w:sz w:val="18"/>
                <w:szCs w:val="18"/>
                <w:lang w:val="en-US" w:eastAsia="zh-CN"/>
              </w:rPr>
              <w:t>7</w:t>
            </w:r>
          </w:p>
        </w:tc>
        <w:tc>
          <w:tcPr>
            <w:tcW w:w="2557" w:type="dxa"/>
            <w:vAlign w:val="center"/>
          </w:tcPr>
          <w:p>
            <w:pPr>
              <w:jc w:val="center"/>
              <w:rPr>
                <w:rFonts w:ascii="宋体"/>
              </w:rPr>
            </w:pPr>
            <w:r>
              <w:rPr>
                <w:rFonts w:hint="eastAsia" w:ascii="宋体" w:hAnsi="宋体"/>
                <w:sz w:val="24"/>
                <w:szCs w:val="24"/>
              </w:rPr>
              <w:t>*</w:t>
            </w:r>
            <w:r>
              <w:rPr>
                <w:rFonts w:hint="eastAsia" w:ascii="宋体"/>
              </w:rPr>
              <w:t>妇产科护理学</w:t>
            </w:r>
          </w:p>
        </w:tc>
        <w:tc>
          <w:tcPr>
            <w:tcW w:w="737" w:type="dxa"/>
          </w:tcPr>
          <w:p>
            <w:pPr>
              <w:jc w:val="center"/>
            </w:pPr>
            <w:r>
              <w:rPr>
                <w:rFonts w:hint="eastAsia"/>
              </w:rPr>
              <w:t>2</w:t>
            </w:r>
          </w:p>
        </w:tc>
        <w:tc>
          <w:tcPr>
            <w:tcW w:w="737" w:type="dxa"/>
            <w:vAlign w:val="center"/>
          </w:tcPr>
          <w:p>
            <w:pPr>
              <w:jc w:val="center"/>
            </w:pPr>
            <w:r>
              <w:rPr>
                <w:rFonts w:hint="eastAsia"/>
              </w:rPr>
              <w:t>36</w:t>
            </w:r>
          </w:p>
        </w:tc>
        <w:tc>
          <w:tcPr>
            <w:tcW w:w="576" w:type="dxa"/>
            <w:vAlign w:val="center"/>
          </w:tcPr>
          <w:p>
            <w:pPr>
              <w:jc w:val="center"/>
            </w:pPr>
            <w:r>
              <w:rPr>
                <w:rFonts w:hint="eastAsia"/>
              </w:rPr>
              <w:t>8</w:t>
            </w:r>
          </w:p>
        </w:tc>
        <w:tc>
          <w:tcPr>
            <w:tcW w:w="500" w:type="dxa"/>
            <w:vAlign w:val="center"/>
          </w:tcPr>
          <w:p>
            <w:pPr>
              <w:jc w:val="center"/>
            </w:pPr>
            <w:r>
              <w:rPr>
                <w:rFonts w:hint="eastAsia"/>
              </w:rPr>
              <w:t>4</w:t>
            </w:r>
          </w:p>
        </w:tc>
        <w:tc>
          <w:tcPr>
            <w:tcW w:w="579" w:type="dxa"/>
            <w:vAlign w:val="center"/>
          </w:tcPr>
          <w:p>
            <w:pPr>
              <w:jc w:val="center"/>
            </w:pPr>
            <w:r>
              <w:rPr>
                <w:rFonts w:hint="eastAsia"/>
              </w:rPr>
              <w:t>24</w:t>
            </w:r>
          </w:p>
        </w:tc>
        <w:tc>
          <w:tcPr>
            <w:tcW w:w="491" w:type="dxa"/>
            <w:vAlign w:val="center"/>
          </w:tcPr>
          <w:p>
            <w:pPr>
              <w:jc w:val="center"/>
            </w:pPr>
          </w:p>
        </w:tc>
        <w:tc>
          <w:tcPr>
            <w:tcW w:w="491" w:type="dxa"/>
            <w:vAlign w:val="center"/>
          </w:tcPr>
          <w:p>
            <w:pPr>
              <w:jc w:val="center"/>
            </w:pPr>
          </w:p>
        </w:tc>
        <w:tc>
          <w:tcPr>
            <w:tcW w:w="492" w:type="dxa"/>
            <w:vAlign w:val="center"/>
          </w:tcPr>
          <w:p>
            <w:pPr>
              <w:jc w:val="center"/>
            </w:pPr>
          </w:p>
        </w:tc>
        <w:tc>
          <w:tcPr>
            <w:tcW w:w="492" w:type="dxa"/>
            <w:vAlign w:val="center"/>
          </w:tcPr>
          <w:p>
            <w:pPr>
              <w:jc w:val="center"/>
            </w:pPr>
            <w:r>
              <w:rPr>
                <w:rFonts w:hint="eastAsia"/>
              </w:rPr>
              <w:t>12</w:t>
            </w:r>
          </w:p>
        </w:tc>
        <w:tc>
          <w:tcPr>
            <w:tcW w:w="493" w:type="dxa"/>
            <w:vAlign w:val="center"/>
          </w:tcPr>
          <w:p>
            <w:pPr>
              <w:jc w:val="center"/>
            </w:pPr>
          </w:p>
        </w:tc>
        <w:tc>
          <w:tcPr>
            <w:tcW w:w="646" w:type="dxa"/>
            <w:vAlign w:val="center"/>
          </w:tcPr>
          <w:p>
            <w:pPr>
              <w:jc w:val="center"/>
            </w:pPr>
            <w:r>
              <w:rPr>
                <w:rFonts w:hint="eastAsia"/>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Merge w:val="continue"/>
            <w:tcBorders>
              <w:left w:val="single" w:color="auto" w:sz="4" w:space="0"/>
              <w:right w:val="single" w:color="auto" w:sz="4" w:space="0"/>
            </w:tcBorders>
            <w:vAlign w:val="center"/>
          </w:tcPr>
          <w:p>
            <w:pPr>
              <w:jc w:val="center"/>
              <w:rPr>
                <w:b/>
                <w:bCs/>
              </w:rPr>
            </w:pPr>
          </w:p>
        </w:tc>
        <w:tc>
          <w:tcPr>
            <w:tcW w:w="493" w:type="dxa"/>
            <w:tcBorders>
              <w:left w:val="single" w:color="auto" w:sz="4" w:space="0"/>
            </w:tcBorders>
            <w:vAlign w:val="center"/>
          </w:tcPr>
          <w:p>
            <w:pPr>
              <w:jc w:val="center"/>
              <w:rPr>
                <w:sz w:val="18"/>
                <w:szCs w:val="18"/>
              </w:rPr>
            </w:pPr>
            <w:r>
              <w:rPr>
                <w:sz w:val="18"/>
                <w:szCs w:val="18"/>
              </w:rPr>
              <w:t>1</w:t>
            </w:r>
            <w:r>
              <w:rPr>
                <w:rFonts w:hint="eastAsia"/>
                <w:sz w:val="18"/>
                <w:szCs w:val="18"/>
                <w:lang w:val="en-US" w:eastAsia="zh-CN"/>
              </w:rPr>
              <w:t>8</w:t>
            </w:r>
          </w:p>
        </w:tc>
        <w:tc>
          <w:tcPr>
            <w:tcW w:w="2557" w:type="dxa"/>
            <w:vAlign w:val="center"/>
          </w:tcPr>
          <w:p>
            <w:pPr>
              <w:ind w:firstLine="720" w:firstLineChars="300"/>
              <w:rPr>
                <w:rFonts w:ascii="宋体"/>
              </w:rPr>
            </w:pPr>
            <w:r>
              <w:rPr>
                <w:rFonts w:hint="eastAsia" w:ascii="宋体" w:hAnsi="宋体"/>
                <w:sz w:val="24"/>
                <w:szCs w:val="24"/>
              </w:rPr>
              <w:t>*</w:t>
            </w:r>
            <w:r>
              <w:rPr>
                <w:rFonts w:hint="eastAsia" w:ascii="宋体"/>
              </w:rPr>
              <w:t>儿科护理学</w:t>
            </w:r>
          </w:p>
        </w:tc>
        <w:tc>
          <w:tcPr>
            <w:tcW w:w="737" w:type="dxa"/>
          </w:tcPr>
          <w:p>
            <w:pPr>
              <w:jc w:val="center"/>
            </w:pPr>
            <w:r>
              <w:rPr>
                <w:rFonts w:hint="eastAsia"/>
              </w:rPr>
              <w:t>2</w:t>
            </w:r>
          </w:p>
        </w:tc>
        <w:tc>
          <w:tcPr>
            <w:tcW w:w="737" w:type="dxa"/>
            <w:vAlign w:val="center"/>
          </w:tcPr>
          <w:p>
            <w:pPr>
              <w:jc w:val="center"/>
            </w:pPr>
            <w:r>
              <w:rPr>
                <w:rFonts w:hint="eastAsia"/>
              </w:rPr>
              <w:t>36</w:t>
            </w:r>
          </w:p>
        </w:tc>
        <w:tc>
          <w:tcPr>
            <w:tcW w:w="576" w:type="dxa"/>
            <w:vAlign w:val="center"/>
          </w:tcPr>
          <w:p>
            <w:pPr>
              <w:jc w:val="center"/>
            </w:pPr>
            <w:r>
              <w:rPr>
                <w:rFonts w:hint="eastAsia"/>
              </w:rPr>
              <w:t>8</w:t>
            </w:r>
          </w:p>
        </w:tc>
        <w:tc>
          <w:tcPr>
            <w:tcW w:w="500" w:type="dxa"/>
            <w:vAlign w:val="center"/>
          </w:tcPr>
          <w:p>
            <w:pPr>
              <w:jc w:val="center"/>
            </w:pPr>
            <w:r>
              <w:rPr>
                <w:rFonts w:hint="eastAsia"/>
              </w:rPr>
              <w:t>4</w:t>
            </w:r>
          </w:p>
        </w:tc>
        <w:tc>
          <w:tcPr>
            <w:tcW w:w="579" w:type="dxa"/>
            <w:vAlign w:val="center"/>
          </w:tcPr>
          <w:p>
            <w:pPr>
              <w:jc w:val="center"/>
            </w:pPr>
            <w:r>
              <w:rPr>
                <w:rFonts w:hint="eastAsia"/>
              </w:rPr>
              <w:t>24</w:t>
            </w:r>
          </w:p>
        </w:tc>
        <w:tc>
          <w:tcPr>
            <w:tcW w:w="491" w:type="dxa"/>
            <w:vAlign w:val="center"/>
          </w:tcPr>
          <w:p>
            <w:pPr>
              <w:jc w:val="center"/>
            </w:pPr>
          </w:p>
        </w:tc>
        <w:tc>
          <w:tcPr>
            <w:tcW w:w="491" w:type="dxa"/>
            <w:vAlign w:val="center"/>
          </w:tcPr>
          <w:p>
            <w:pPr>
              <w:jc w:val="center"/>
            </w:pPr>
          </w:p>
        </w:tc>
        <w:tc>
          <w:tcPr>
            <w:tcW w:w="492" w:type="dxa"/>
            <w:vAlign w:val="center"/>
          </w:tcPr>
          <w:p>
            <w:pPr>
              <w:jc w:val="center"/>
            </w:pPr>
          </w:p>
        </w:tc>
        <w:tc>
          <w:tcPr>
            <w:tcW w:w="492" w:type="dxa"/>
            <w:vAlign w:val="center"/>
          </w:tcPr>
          <w:p>
            <w:pPr>
              <w:jc w:val="center"/>
            </w:pPr>
            <w:r>
              <w:rPr>
                <w:rFonts w:hint="eastAsia"/>
              </w:rPr>
              <w:t>12</w:t>
            </w:r>
          </w:p>
        </w:tc>
        <w:tc>
          <w:tcPr>
            <w:tcW w:w="493" w:type="dxa"/>
            <w:vAlign w:val="center"/>
          </w:tcPr>
          <w:p>
            <w:pPr>
              <w:jc w:val="center"/>
            </w:pPr>
          </w:p>
        </w:tc>
        <w:tc>
          <w:tcPr>
            <w:tcW w:w="646" w:type="dxa"/>
            <w:vAlign w:val="center"/>
          </w:tcPr>
          <w:p>
            <w:pPr>
              <w:jc w:val="center"/>
            </w:pPr>
            <w:r>
              <w:rPr>
                <w:rFonts w:hint="eastAsia"/>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Merge w:val="continue"/>
            <w:tcBorders>
              <w:left w:val="single" w:color="auto" w:sz="4" w:space="0"/>
              <w:right w:val="single" w:color="auto" w:sz="4" w:space="0"/>
            </w:tcBorders>
            <w:vAlign w:val="center"/>
          </w:tcPr>
          <w:p>
            <w:pPr>
              <w:jc w:val="center"/>
              <w:rPr>
                <w:b/>
                <w:bCs/>
              </w:rPr>
            </w:pPr>
          </w:p>
        </w:tc>
        <w:tc>
          <w:tcPr>
            <w:tcW w:w="493" w:type="dxa"/>
            <w:tcBorders>
              <w:left w:val="single" w:color="auto" w:sz="4" w:space="0"/>
            </w:tcBorders>
            <w:vAlign w:val="center"/>
          </w:tcPr>
          <w:p>
            <w:pPr>
              <w:jc w:val="center"/>
              <w:rPr>
                <w:sz w:val="18"/>
                <w:szCs w:val="18"/>
              </w:rPr>
            </w:pPr>
            <w:r>
              <w:rPr>
                <w:rFonts w:hint="eastAsia"/>
                <w:sz w:val="18"/>
                <w:szCs w:val="18"/>
              </w:rPr>
              <w:t>1</w:t>
            </w:r>
            <w:r>
              <w:rPr>
                <w:rFonts w:hint="eastAsia"/>
                <w:sz w:val="18"/>
                <w:szCs w:val="18"/>
                <w:lang w:val="en-US" w:eastAsia="zh-CN"/>
              </w:rPr>
              <w:t>9</w:t>
            </w:r>
          </w:p>
        </w:tc>
        <w:tc>
          <w:tcPr>
            <w:tcW w:w="2557" w:type="dxa"/>
            <w:vAlign w:val="center"/>
          </w:tcPr>
          <w:p>
            <w:pPr>
              <w:ind w:firstLine="720" w:firstLineChars="300"/>
              <w:rPr>
                <w:rFonts w:ascii="宋体"/>
              </w:rPr>
            </w:pPr>
            <w:r>
              <w:rPr>
                <w:rFonts w:hint="eastAsia" w:ascii="宋体" w:hAnsi="宋体"/>
                <w:sz w:val="24"/>
                <w:szCs w:val="24"/>
              </w:rPr>
              <w:t>*</w:t>
            </w:r>
            <w:r>
              <w:rPr>
                <w:rFonts w:hint="eastAsia" w:ascii="宋体"/>
              </w:rPr>
              <w:t>健康评估</w:t>
            </w:r>
          </w:p>
        </w:tc>
        <w:tc>
          <w:tcPr>
            <w:tcW w:w="737" w:type="dxa"/>
          </w:tcPr>
          <w:p>
            <w:pPr>
              <w:jc w:val="center"/>
            </w:pPr>
            <w:r>
              <w:rPr>
                <w:rFonts w:hint="eastAsia"/>
              </w:rPr>
              <w:t>3</w:t>
            </w:r>
          </w:p>
        </w:tc>
        <w:tc>
          <w:tcPr>
            <w:tcW w:w="737" w:type="dxa"/>
            <w:vAlign w:val="center"/>
          </w:tcPr>
          <w:p>
            <w:pPr>
              <w:jc w:val="center"/>
            </w:pPr>
            <w:r>
              <w:rPr>
                <w:rFonts w:hint="eastAsia"/>
              </w:rPr>
              <w:t>54</w:t>
            </w:r>
          </w:p>
        </w:tc>
        <w:tc>
          <w:tcPr>
            <w:tcW w:w="576" w:type="dxa"/>
            <w:vAlign w:val="center"/>
          </w:tcPr>
          <w:p>
            <w:pPr>
              <w:jc w:val="center"/>
            </w:pPr>
            <w:r>
              <w:rPr>
                <w:rFonts w:hint="eastAsia"/>
              </w:rPr>
              <w:t>12</w:t>
            </w:r>
          </w:p>
        </w:tc>
        <w:tc>
          <w:tcPr>
            <w:tcW w:w="500" w:type="dxa"/>
            <w:vAlign w:val="center"/>
          </w:tcPr>
          <w:p>
            <w:pPr>
              <w:jc w:val="center"/>
            </w:pPr>
            <w:r>
              <w:rPr>
                <w:rFonts w:hint="eastAsia"/>
              </w:rPr>
              <w:t>6</w:t>
            </w:r>
          </w:p>
        </w:tc>
        <w:tc>
          <w:tcPr>
            <w:tcW w:w="579" w:type="dxa"/>
            <w:vAlign w:val="center"/>
          </w:tcPr>
          <w:p>
            <w:pPr>
              <w:jc w:val="center"/>
            </w:pPr>
            <w:r>
              <w:rPr>
                <w:rFonts w:hint="eastAsia"/>
              </w:rPr>
              <w:t>36</w:t>
            </w:r>
          </w:p>
        </w:tc>
        <w:tc>
          <w:tcPr>
            <w:tcW w:w="491" w:type="dxa"/>
            <w:vAlign w:val="center"/>
          </w:tcPr>
          <w:p>
            <w:pPr>
              <w:jc w:val="center"/>
            </w:pPr>
          </w:p>
        </w:tc>
        <w:tc>
          <w:tcPr>
            <w:tcW w:w="491" w:type="dxa"/>
            <w:vAlign w:val="center"/>
          </w:tcPr>
          <w:p>
            <w:pPr>
              <w:jc w:val="center"/>
            </w:pPr>
          </w:p>
        </w:tc>
        <w:tc>
          <w:tcPr>
            <w:tcW w:w="492" w:type="dxa"/>
            <w:vAlign w:val="center"/>
          </w:tcPr>
          <w:p>
            <w:pPr>
              <w:jc w:val="center"/>
            </w:pPr>
          </w:p>
        </w:tc>
        <w:tc>
          <w:tcPr>
            <w:tcW w:w="492" w:type="dxa"/>
            <w:vAlign w:val="center"/>
          </w:tcPr>
          <w:p>
            <w:pPr>
              <w:jc w:val="center"/>
            </w:pPr>
          </w:p>
        </w:tc>
        <w:tc>
          <w:tcPr>
            <w:tcW w:w="493" w:type="dxa"/>
            <w:vAlign w:val="center"/>
          </w:tcPr>
          <w:p>
            <w:pPr>
              <w:jc w:val="center"/>
            </w:pPr>
            <w:r>
              <w:rPr>
                <w:rFonts w:hint="eastAsia"/>
              </w:rPr>
              <w:t>18</w:t>
            </w:r>
          </w:p>
        </w:tc>
        <w:tc>
          <w:tcPr>
            <w:tcW w:w="646" w:type="dxa"/>
            <w:vAlign w:val="center"/>
          </w:tcPr>
          <w:p>
            <w:pPr>
              <w:jc w:val="center"/>
              <w:rPr>
                <w:rFonts w:ascii="宋体" w:hAnsi="宋体" w:cs="宋体"/>
                <w:sz w:val="18"/>
                <w:szCs w:val="18"/>
              </w:rPr>
            </w:pPr>
            <w:r>
              <w:rPr>
                <w:rFonts w:hint="eastAsia" w:ascii="宋体" w:hAnsi="宋体" w:cs="宋体"/>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493" w:type="dxa"/>
            <w:vMerge w:val="continue"/>
            <w:tcBorders>
              <w:left w:val="single" w:color="auto" w:sz="4" w:space="0"/>
              <w:right w:val="single" w:color="auto" w:sz="4" w:space="0"/>
            </w:tcBorders>
            <w:vAlign w:val="center"/>
          </w:tcPr>
          <w:p>
            <w:pPr>
              <w:jc w:val="center"/>
              <w:rPr>
                <w:b/>
                <w:bCs/>
              </w:rPr>
            </w:pPr>
          </w:p>
        </w:tc>
        <w:tc>
          <w:tcPr>
            <w:tcW w:w="493" w:type="dxa"/>
            <w:tcBorders>
              <w:left w:val="single" w:color="auto" w:sz="4" w:space="0"/>
            </w:tcBorders>
            <w:vAlign w:val="center"/>
          </w:tcPr>
          <w:p>
            <w:pPr>
              <w:jc w:val="center"/>
              <w:rPr>
                <w:sz w:val="18"/>
                <w:szCs w:val="18"/>
              </w:rPr>
            </w:pPr>
            <w:r>
              <w:rPr>
                <w:rFonts w:hint="eastAsia"/>
                <w:sz w:val="18"/>
                <w:szCs w:val="18"/>
                <w:lang w:val="en-US" w:eastAsia="zh-CN"/>
              </w:rPr>
              <w:t>20</w:t>
            </w:r>
          </w:p>
        </w:tc>
        <w:tc>
          <w:tcPr>
            <w:tcW w:w="2557" w:type="dxa"/>
            <w:vAlign w:val="center"/>
          </w:tcPr>
          <w:p>
            <w:pPr>
              <w:ind w:firstLine="660" w:firstLineChars="300"/>
              <w:rPr>
                <w:rFonts w:hint="eastAsia" w:ascii="宋体" w:hAnsi="宋体" w:eastAsia="宋体"/>
                <w:sz w:val="22"/>
                <w:szCs w:val="22"/>
                <w:lang w:val="en-US" w:eastAsia="zh-CN"/>
              </w:rPr>
            </w:pPr>
            <w:r>
              <w:rPr>
                <w:rFonts w:hint="eastAsia" w:ascii="宋体" w:hAnsi="宋体"/>
                <w:sz w:val="22"/>
                <w:szCs w:val="22"/>
              </w:rPr>
              <w:t>社区护理</w:t>
            </w:r>
            <w:r>
              <w:rPr>
                <w:rFonts w:hint="eastAsia" w:ascii="宋体" w:hAnsi="宋体"/>
                <w:sz w:val="22"/>
                <w:szCs w:val="22"/>
                <w:lang w:val="en-US" w:eastAsia="zh-CN"/>
              </w:rPr>
              <w:t>学</w:t>
            </w:r>
          </w:p>
        </w:tc>
        <w:tc>
          <w:tcPr>
            <w:tcW w:w="737" w:type="dxa"/>
          </w:tcPr>
          <w:p>
            <w:pPr>
              <w:jc w:val="center"/>
              <w:rPr>
                <w:sz w:val="20"/>
                <w:szCs w:val="20"/>
              </w:rPr>
            </w:pPr>
            <w:r>
              <w:rPr>
                <w:rFonts w:hint="eastAsia"/>
                <w:sz w:val="20"/>
                <w:szCs w:val="20"/>
              </w:rPr>
              <w:t>1</w:t>
            </w:r>
          </w:p>
        </w:tc>
        <w:tc>
          <w:tcPr>
            <w:tcW w:w="737" w:type="dxa"/>
            <w:vAlign w:val="center"/>
          </w:tcPr>
          <w:p>
            <w:pPr>
              <w:jc w:val="center"/>
              <w:rPr>
                <w:sz w:val="20"/>
                <w:szCs w:val="20"/>
              </w:rPr>
            </w:pPr>
            <w:r>
              <w:rPr>
                <w:rFonts w:hint="eastAsia"/>
                <w:sz w:val="20"/>
                <w:szCs w:val="20"/>
              </w:rPr>
              <w:t>18</w:t>
            </w:r>
          </w:p>
        </w:tc>
        <w:tc>
          <w:tcPr>
            <w:tcW w:w="576" w:type="dxa"/>
            <w:vAlign w:val="center"/>
          </w:tcPr>
          <w:p>
            <w:pPr>
              <w:jc w:val="center"/>
              <w:rPr>
                <w:sz w:val="20"/>
                <w:szCs w:val="20"/>
              </w:rPr>
            </w:pPr>
            <w:r>
              <w:rPr>
                <w:rFonts w:hint="eastAsia"/>
                <w:sz w:val="20"/>
                <w:szCs w:val="20"/>
              </w:rPr>
              <w:t>6</w:t>
            </w:r>
          </w:p>
        </w:tc>
        <w:tc>
          <w:tcPr>
            <w:tcW w:w="500" w:type="dxa"/>
            <w:vAlign w:val="center"/>
          </w:tcPr>
          <w:p>
            <w:pPr>
              <w:jc w:val="center"/>
              <w:rPr>
                <w:sz w:val="20"/>
                <w:szCs w:val="20"/>
              </w:rPr>
            </w:pPr>
          </w:p>
        </w:tc>
        <w:tc>
          <w:tcPr>
            <w:tcW w:w="579" w:type="dxa"/>
            <w:vAlign w:val="center"/>
          </w:tcPr>
          <w:p>
            <w:pPr>
              <w:jc w:val="center"/>
              <w:rPr>
                <w:sz w:val="20"/>
                <w:szCs w:val="20"/>
              </w:rPr>
            </w:pPr>
            <w:r>
              <w:rPr>
                <w:rFonts w:hint="eastAsia"/>
                <w:sz w:val="20"/>
                <w:szCs w:val="20"/>
              </w:rPr>
              <w:t>12</w:t>
            </w:r>
          </w:p>
        </w:tc>
        <w:tc>
          <w:tcPr>
            <w:tcW w:w="491" w:type="dxa"/>
            <w:vAlign w:val="center"/>
          </w:tcPr>
          <w:p>
            <w:pPr>
              <w:jc w:val="center"/>
              <w:rPr>
                <w:sz w:val="20"/>
                <w:szCs w:val="20"/>
              </w:rPr>
            </w:pPr>
          </w:p>
        </w:tc>
        <w:tc>
          <w:tcPr>
            <w:tcW w:w="491" w:type="dxa"/>
            <w:vAlign w:val="center"/>
          </w:tcPr>
          <w:p>
            <w:pPr>
              <w:jc w:val="center"/>
              <w:rPr>
                <w:sz w:val="20"/>
                <w:szCs w:val="20"/>
              </w:rPr>
            </w:pPr>
          </w:p>
        </w:tc>
        <w:tc>
          <w:tcPr>
            <w:tcW w:w="492" w:type="dxa"/>
            <w:vAlign w:val="center"/>
          </w:tcPr>
          <w:p>
            <w:pPr>
              <w:jc w:val="center"/>
              <w:rPr>
                <w:sz w:val="20"/>
                <w:szCs w:val="20"/>
              </w:rPr>
            </w:pPr>
          </w:p>
        </w:tc>
        <w:tc>
          <w:tcPr>
            <w:tcW w:w="492" w:type="dxa"/>
            <w:vAlign w:val="center"/>
          </w:tcPr>
          <w:p>
            <w:pPr>
              <w:jc w:val="center"/>
              <w:rPr>
                <w:sz w:val="20"/>
                <w:szCs w:val="20"/>
              </w:rPr>
            </w:pPr>
          </w:p>
        </w:tc>
        <w:tc>
          <w:tcPr>
            <w:tcW w:w="493" w:type="dxa"/>
            <w:vAlign w:val="center"/>
          </w:tcPr>
          <w:p>
            <w:pPr>
              <w:jc w:val="center"/>
              <w:rPr>
                <w:sz w:val="20"/>
                <w:szCs w:val="20"/>
              </w:rPr>
            </w:pPr>
            <w:r>
              <w:rPr>
                <w:rFonts w:hint="eastAsia"/>
                <w:sz w:val="20"/>
                <w:szCs w:val="20"/>
              </w:rPr>
              <w:t>6</w:t>
            </w:r>
          </w:p>
        </w:tc>
        <w:tc>
          <w:tcPr>
            <w:tcW w:w="646" w:type="dxa"/>
            <w:vAlign w:val="center"/>
          </w:tcPr>
          <w:p>
            <w:pPr>
              <w:jc w:val="center"/>
              <w:rPr>
                <w:rFonts w:ascii="宋体" w:hAnsi="宋体" w:cs="宋体"/>
                <w:sz w:val="16"/>
                <w:szCs w:val="16"/>
              </w:rPr>
            </w:pPr>
            <w:r>
              <w:rPr>
                <w:rFonts w:hint="eastAsia" w:ascii="宋体" w:hAnsi="宋体" w:cs="宋体"/>
                <w:sz w:val="16"/>
                <w:szCs w:val="16"/>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Merge w:val="continue"/>
            <w:tcBorders>
              <w:left w:val="single" w:color="auto" w:sz="4" w:space="0"/>
              <w:bottom w:val="single" w:color="auto" w:sz="4" w:space="0"/>
              <w:right w:val="single" w:color="auto" w:sz="4" w:space="0"/>
            </w:tcBorders>
            <w:vAlign w:val="center"/>
          </w:tcPr>
          <w:p>
            <w:pPr>
              <w:jc w:val="center"/>
              <w:rPr>
                <w:b/>
                <w:bCs/>
              </w:rPr>
            </w:pPr>
          </w:p>
        </w:tc>
        <w:tc>
          <w:tcPr>
            <w:tcW w:w="493" w:type="dxa"/>
            <w:tcBorders>
              <w:left w:val="single" w:color="auto" w:sz="4" w:space="0"/>
            </w:tcBorders>
            <w:vAlign w:val="center"/>
          </w:tcPr>
          <w:p>
            <w:pPr>
              <w:jc w:val="center"/>
              <w:rPr>
                <w:sz w:val="18"/>
                <w:szCs w:val="18"/>
              </w:rPr>
            </w:pPr>
            <w:r>
              <w:rPr>
                <w:rFonts w:hint="eastAsia"/>
                <w:sz w:val="18"/>
                <w:szCs w:val="18"/>
              </w:rPr>
              <w:t>2</w:t>
            </w:r>
            <w:r>
              <w:rPr>
                <w:rFonts w:hint="eastAsia"/>
                <w:sz w:val="18"/>
                <w:szCs w:val="18"/>
                <w:lang w:val="en-US" w:eastAsia="zh-CN"/>
              </w:rPr>
              <w:t>1</w:t>
            </w:r>
          </w:p>
        </w:tc>
        <w:tc>
          <w:tcPr>
            <w:tcW w:w="2557" w:type="dxa"/>
            <w:vAlign w:val="center"/>
          </w:tcPr>
          <w:p>
            <w:pPr>
              <w:ind w:firstLine="660" w:firstLineChars="300"/>
              <w:rPr>
                <w:rFonts w:hint="eastAsia" w:ascii="宋体" w:hAnsi="宋体" w:eastAsia="宋体"/>
                <w:sz w:val="22"/>
                <w:szCs w:val="22"/>
                <w:lang w:val="en-US" w:eastAsia="zh-CN"/>
              </w:rPr>
            </w:pPr>
            <w:r>
              <w:rPr>
                <w:rFonts w:hint="eastAsia" w:ascii="宋体" w:hAnsi="宋体"/>
                <w:sz w:val="22"/>
                <w:szCs w:val="22"/>
              </w:rPr>
              <w:t>*老年护理</w:t>
            </w:r>
            <w:r>
              <w:rPr>
                <w:rFonts w:hint="eastAsia" w:ascii="宋体" w:hAnsi="宋体"/>
                <w:sz w:val="22"/>
                <w:szCs w:val="22"/>
                <w:lang w:val="en-US" w:eastAsia="zh-CN"/>
              </w:rPr>
              <w:t>学</w:t>
            </w:r>
          </w:p>
        </w:tc>
        <w:tc>
          <w:tcPr>
            <w:tcW w:w="737" w:type="dxa"/>
          </w:tcPr>
          <w:p>
            <w:pPr>
              <w:jc w:val="center"/>
              <w:rPr>
                <w:sz w:val="20"/>
                <w:szCs w:val="20"/>
              </w:rPr>
            </w:pPr>
            <w:r>
              <w:rPr>
                <w:rFonts w:hint="eastAsia"/>
                <w:sz w:val="20"/>
                <w:szCs w:val="20"/>
              </w:rPr>
              <w:t>2</w:t>
            </w:r>
          </w:p>
        </w:tc>
        <w:tc>
          <w:tcPr>
            <w:tcW w:w="737" w:type="dxa"/>
            <w:vAlign w:val="center"/>
          </w:tcPr>
          <w:p>
            <w:pPr>
              <w:jc w:val="center"/>
              <w:rPr>
                <w:sz w:val="20"/>
                <w:szCs w:val="20"/>
              </w:rPr>
            </w:pPr>
            <w:r>
              <w:rPr>
                <w:rFonts w:hint="eastAsia"/>
                <w:sz w:val="20"/>
                <w:szCs w:val="20"/>
              </w:rPr>
              <w:t>36</w:t>
            </w:r>
          </w:p>
        </w:tc>
        <w:tc>
          <w:tcPr>
            <w:tcW w:w="576" w:type="dxa"/>
            <w:vAlign w:val="center"/>
          </w:tcPr>
          <w:p>
            <w:pPr>
              <w:jc w:val="center"/>
              <w:rPr>
                <w:sz w:val="20"/>
                <w:szCs w:val="20"/>
              </w:rPr>
            </w:pPr>
            <w:r>
              <w:rPr>
                <w:rFonts w:hint="eastAsia"/>
                <w:sz w:val="20"/>
                <w:szCs w:val="20"/>
              </w:rPr>
              <w:t>8</w:t>
            </w:r>
          </w:p>
        </w:tc>
        <w:tc>
          <w:tcPr>
            <w:tcW w:w="500" w:type="dxa"/>
            <w:vAlign w:val="center"/>
          </w:tcPr>
          <w:p>
            <w:pPr>
              <w:jc w:val="center"/>
              <w:rPr>
                <w:sz w:val="20"/>
                <w:szCs w:val="20"/>
              </w:rPr>
            </w:pPr>
            <w:r>
              <w:rPr>
                <w:rFonts w:hint="eastAsia"/>
                <w:sz w:val="20"/>
                <w:szCs w:val="20"/>
              </w:rPr>
              <w:t>4</w:t>
            </w:r>
          </w:p>
        </w:tc>
        <w:tc>
          <w:tcPr>
            <w:tcW w:w="579" w:type="dxa"/>
            <w:vAlign w:val="center"/>
          </w:tcPr>
          <w:p>
            <w:pPr>
              <w:jc w:val="center"/>
              <w:rPr>
                <w:sz w:val="20"/>
                <w:szCs w:val="20"/>
              </w:rPr>
            </w:pPr>
            <w:r>
              <w:rPr>
                <w:rFonts w:hint="eastAsia"/>
                <w:sz w:val="20"/>
                <w:szCs w:val="20"/>
              </w:rPr>
              <w:t>24</w:t>
            </w:r>
          </w:p>
        </w:tc>
        <w:tc>
          <w:tcPr>
            <w:tcW w:w="491" w:type="dxa"/>
            <w:vAlign w:val="center"/>
          </w:tcPr>
          <w:p>
            <w:pPr>
              <w:jc w:val="center"/>
              <w:rPr>
                <w:sz w:val="20"/>
                <w:szCs w:val="20"/>
              </w:rPr>
            </w:pPr>
          </w:p>
        </w:tc>
        <w:tc>
          <w:tcPr>
            <w:tcW w:w="491" w:type="dxa"/>
            <w:vAlign w:val="center"/>
          </w:tcPr>
          <w:p>
            <w:pPr>
              <w:jc w:val="center"/>
              <w:rPr>
                <w:sz w:val="20"/>
                <w:szCs w:val="20"/>
              </w:rPr>
            </w:pPr>
          </w:p>
        </w:tc>
        <w:tc>
          <w:tcPr>
            <w:tcW w:w="492" w:type="dxa"/>
            <w:vAlign w:val="center"/>
          </w:tcPr>
          <w:p>
            <w:pPr>
              <w:jc w:val="center"/>
              <w:rPr>
                <w:sz w:val="20"/>
                <w:szCs w:val="20"/>
              </w:rPr>
            </w:pPr>
          </w:p>
        </w:tc>
        <w:tc>
          <w:tcPr>
            <w:tcW w:w="492" w:type="dxa"/>
            <w:vAlign w:val="center"/>
          </w:tcPr>
          <w:p>
            <w:pPr>
              <w:jc w:val="center"/>
              <w:rPr>
                <w:sz w:val="20"/>
                <w:szCs w:val="20"/>
              </w:rPr>
            </w:pPr>
          </w:p>
        </w:tc>
        <w:tc>
          <w:tcPr>
            <w:tcW w:w="493" w:type="dxa"/>
            <w:vAlign w:val="center"/>
          </w:tcPr>
          <w:p>
            <w:pPr>
              <w:jc w:val="center"/>
              <w:rPr>
                <w:sz w:val="20"/>
                <w:szCs w:val="20"/>
              </w:rPr>
            </w:pPr>
            <w:r>
              <w:rPr>
                <w:rFonts w:hint="eastAsia"/>
                <w:sz w:val="20"/>
                <w:szCs w:val="20"/>
              </w:rPr>
              <w:t>12</w:t>
            </w:r>
          </w:p>
        </w:tc>
        <w:tc>
          <w:tcPr>
            <w:tcW w:w="646" w:type="dxa"/>
            <w:vAlign w:val="center"/>
          </w:tcPr>
          <w:p>
            <w:pPr>
              <w:jc w:val="center"/>
              <w:rPr>
                <w:rFonts w:ascii="宋体" w:hAnsi="宋体" w:cs="宋体"/>
                <w:sz w:val="16"/>
                <w:szCs w:val="16"/>
              </w:rPr>
            </w:pPr>
            <w:r>
              <w:rPr>
                <w:rFonts w:hint="eastAsia" w:ascii="宋体" w:hAnsi="宋体" w:cs="宋体"/>
                <w:sz w:val="16"/>
                <w:szCs w:val="16"/>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tcBorders>
              <w:top w:val="single" w:color="auto" w:sz="4" w:space="0"/>
            </w:tcBorders>
            <w:vAlign w:val="center"/>
          </w:tcPr>
          <w:p>
            <w:pPr>
              <w:jc w:val="center"/>
              <w:rPr>
                <w:sz w:val="18"/>
                <w:szCs w:val="18"/>
              </w:rPr>
            </w:pPr>
            <w:r>
              <w:rPr>
                <w:rFonts w:hint="eastAsia" w:cs="宋体"/>
                <w:b/>
                <w:bCs/>
              </w:rPr>
              <w:t>实践课</w:t>
            </w:r>
          </w:p>
        </w:tc>
        <w:tc>
          <w:tcPr>
            <w:tcW w:w="493" w:type="dxa"/>
            <w:vAlign w:val="center"/>
          </w:tcPr>
          <w:p>
            <w:pPr>
              <w:jc w:val="center"/>
              <w:rPr>
                <w:sz w:val="18"/>
                <w:szCs w:val="18"/>
              </w:rPr>
            </w:pPr>
            <w:r>
              <w:rPr>
                <w:rFonts w:hint="eastAsia"/>
                <w:sz w:val="18"/>
                <w:szCs w:val="18"/>
              </w:rPr>
              <w:t>21</w:t>
            </w:r>
          </w:p>
        </w:tc>
        <w:tc>
          <w:tcPr>
            <w:tcW w:w="2557" w:type="dxa"/>
            <w:vAlign w:val="center"/>
          </w:tcPr>
          <w:p>
            <w:pPr>
              <w:jc w:val="center"/>
            </w:pPr>
            <w:r>
              <w:rPr>
                <w:rFonts w:hint="eastAsia" w:cs="宋体"/>
              </w:rPr>
              <w:t>毕业实习（含毕业综合实践、毕业教育）</w:t>
            </w:r>
          </w:p>
        </w:tc>
        <w:tc>
          <w:tcPr>
            <w:tcW w:w="737" w:type="dxa"/>
          </w:tcPr>
          <w:p>
            <w:pPr>
              <w:jc w:val="center"/>
              <w:rPr>
                <w:color w:val="000000"/>
                <w:sz w:val="18"/>
                <w:szCs w:val="18"/>
              </w:rPr>
            </w:pPr>
          </w:p>
          <w:p>
            <w:pPr>
              <w:jc w:val="center"/>
              <w:rPr>
                <w:color w:val="000000"/>
                <w:sz w:val="18"/>
                <w:szCs w:val="18"/>
              </w:rPr>
            </w:pPr>
            <w:r>
              <w:rPr>
                <w:rFonts w:hint="eastAsia"/>
                <w:color w:val="000000"/>
                <w:sz w:val="18"/>
                <w:szCs w:val="18"/>
              </w:rPr>
              <w:t>10</w:t>
            </w:r>
          </w:p>
        </w:tc>
        <w:tc>
          <w:tcPr>
            <w:tcW w:w="737" w:type="dxa"/>
            <w:vAlign w:val="center"/>
          </w:tcPr>
          <w:p>
            <w:pPr>
              <w:jc w:val="center"/>
              <w:rPr>
                <w:color w:val="000000"/>
                <w:sz w:val="18"/>
                <w:szCs w:val="18"/>
              </w:rPr>
            </w:pPr>
            <w:r>
              <w:rPr>
                <w:rFonts w:hint="eastAsia"/>
                <w:color w:val="000000"/>
                <w:sz w:val="18"/>
                <w:szCs w:val="18"/>
              </w:rPr>
              <w:t>180</w:t>
            </w:r>
          </w:p>
        </w:tc>
        <w:tc>
          <w:tcPr>
            <w:tcW w:w="576" w:type="dxa"/>
            <w:vAlign w:val="center"/>
          </w:tcPr>
          <w:p>
            <w:pPr>
              <w:jc w:val="center"/>
              <w:rPr>
                <w:color w:val="000000"/>
                <w:sz w:val="18"/>
                <w:szCs w:val="18"/>
              </w:rPr>
            </w:pPr>
          </w:p>
        </w:tc>
        <w:tc>
          <w:tcPr>
            <w:tcW w:w="500" w:type="dxa"/>
            <w:vAlign w:val="center"/>
          </w:tcPr>
          <w:p>
            <w:pPr>
              <w:jc w:val="center"/>
              <w:rPr>
                <w:color w:val="000000"/>
                <w:sz w:val="18"/>
                <w:szCs w:val="18"/>
              </w:rPr>
            </w:pPr>
          </w:p>
        </w:tc>
        <w:tc>
          <w:tcPr>
            <w:tcW w:w="579" w:type="dxa"/>
            <w:vAlign w:val="center"/>
          </w:tcPr>
          <w:p>
            <w:pPr>
              <w:jc w:val="center"/>
              <w:rPr>
                <w:color w:val="000000"/>
                <w:sz w:val="18"/>
                <w:szCs w:val="18"/>
              </w:rPr>
            </w:pPr>
          </w:p>
        </w:tc>
        <w:tc>
          <w:tcPr>
            <w:tcW w:w="491" w:type="dxa"/>
            <w:vAlign w:val="center"/>
          </w:tcPr>
          <w:p>
            <w:pPr>
              <w:jc w:val="center"/>
              <w:rPr>
                <w:color w:val="000000"/>
                <w:sz w:val="18"/>
                <w:szCs w:val="18"/>
              </w:rPr>
            </w:pPr>
          </w:p>
        </w:tc>
        <w:tc>
          <w:tcPr>
            <w:tcW w:w="491" w:type="dxa"/>
            <w:vAlign w:val="center"/>
          </w:tcPr>
          <w:p>
            <w:pPr>
              <w:jc w:val="center"/>
              <w:rPr>
                <w:color w:val="000000"/>
                <w:sz w:val="18"/>
                <w:szCs w:val="18"/>
              </w:rPr>
            </w:pPr>
          </w:p>
        </w:tc>
        <w:tc>
          <w:tcPr>
            <w:tcW w:w="492" w:type="dxa"/>
            <w:vAlign w:val="center"/>
          </w:tcPr>
          <w:p>
            <w:pPr>
              <w:jc w:val="center"/>
              <w:rPr>
                <w:sz w:val="18"/>
                <w:szCs w:val="18"/>
              </w:rPr>
            </w:pPr>
          </w:p>
        </w:tc>
        <w:tc>
          <w:tcPr>
            <w:tcW w:w="492" w:type="dxa"/>
            <w:vAlign w:val="center"/>
          </w:tcPr>
          <w:p>
            <w:pPr>
              <w:jc w:val="center"/>
              <w:rPr>
                <w:sz w:val="18"/>
                <w:szCs w:val="18"/>
              </w:rPr>
            </w:pPr>
          </w:p>
        </w:tc>
        <w:tc>
          <w:tcPr>
            <w:tcW w:w="493" w:type="dxa"/>
            <w:vAlign w:val="center"/>
          </w:tcPr>
          <w:p>
            <w:pPr>
              <w:jc w:val="center"/>
              <w:rPr>
                <w:sz w:val="18"/>
                <w:szCs w:val="18"/>
              </w:rPr>
            </w:pPr>
          </w:p>
        </w:tc>
        <w:tc>
          <w:tcPr>
            <w:tcW w:w="646" w:type="dxa"/>
            <w:vAlign w:val="center"/>
          </w:tcPr>
          <w:p>
            <w:pPr>
              <w:jc w:val="center"/>
              <w:rPr>
                <w:sz w:val="18"/>
                <w:szCs w:val="18"/>
              </w:rPr>
            </w:pPr>
            <w:r>
              <w:rPr>
                <w:rFonts w:hint="eastAsia"/>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gridSpan w:val="2"/>
            <w:vAlign w:val="center"/>
          </w:tcPr>
          <w:p>
            <w:pPr>
              <w:jc w:val="center"/>
              <w:rPr>
                <w:b/>
                <w:bCs/>
              </w:rPr>
            </w:pPr>
            <w:r>
              <w:rPr>
                <w:rFonts w:hint="eastAsia" w:cs="宋体"/>
                <w:b/>
                <w:bCs/>
              </w:rPr>
              <w:t>合计</w:t>
            </w:r>
          </w:p>
        </w:tc>
        <w:tc>
          <w:tcPr>
            <w:tcW w:w="2557" w:type="dxa"/>
            <w:vAlign w:val="center"/>
          </w:tcPr>
          <w:p>
            <w:pPr>
              <w:jc w:val="center"/>
              <w:rPr>
                <w:sz w:val="18"/>
                <w:szCs w:val="18"/>
              </w:rPr>
            </w:pPr>
          </w:p>
        </w:tc>
        <w:tc>
          <w:tcPr>
            <w:tcW w:w="737" w:type="dxa"/>
          </w:tcPr>
          <w:p>
            <w:pPr>
              <w:ind w:firstLine="180" w:firstLineChars="100"/>
              <w:rPr>
                <w:color w:val="000000"/>
                <w:sz w:val="18"/>
                <w:szCs w:val="18"/>
              </w:rPr>
            </w:pPr>
            <w:r>
              <w:rPr>
                <w:rFonts w:hint="eastAsia"/>
                <w:color w:val="000000"/>
                <w:sz w:val="18"/>
                <w:szCs w:val="18"/>
              </w:rPr>
              <w:t>73</w:t>
            </w:r>
          </w:p>
        </w:tc>
        <w:tc>
          <w:tcPr>
            <w:tcW w:w="737" w:type="dxa"/>
            <w:vAlign w:val="center"/>
          </w:tcPr>
          <w:p>
            <w:pPr>
              <w:rPr>
                <w:color w:val="000000"/>
                <w:sz w:val="18"/>
                <w:szCs w:val="18"/>
              </w:rPr>
            </w:pPr>
            <w:r>
              <w:rPr>
                <w:rFonts w:hint="eastAsia"/>
                <w:color w:val="000000"/>
                <w:sz w:val="18"/>
                <w:szCs w:val="18"/>
              </w:rPr>
              <w:t>1314</w:t>
            </w:r>
          </w:p>
        </w:tc>
        <w:tc>
          <w:tcPr>
            <w:tcW w:w="576" w:type="dxa"/>
            <w:vAlign w:val="center"/>
          </w:tcPr>
          <w:p>
            <w:pPr>
              <w:rPr>
                <w:color w:val="000000"/>
                <w:sz w:val="18"/>
                <w:szCs w:val="18"/>
              </w:rPr>
            </w:pPr>
            <w:r>
              <w:rPr>
                <w:rFonts w:hint="eastAsia"/>
                <w:color w:val="000000"/>
                <w:sz w:val="18"/>
                <w:szCs w:val="18"/>
              </w:rPr>
              <w:t>291</w:t>
            </w:r>
          </w:p>
        </w:tc>
        <w:tc>
          <w:tcPr>
            <w:tcW w:w="500" w:type="dxa"/>
            <w:vAlign w:val="center"/>
          </w:tcPr>
          <w:p>
            <w:pPr>
              <w:jc w:val="center"/>
              <w:rPr>
                <w:color w:val="000000"/>
                <w:sz w:val="18"/>
                <w:szCs w:val="18"/>
              </w:rPr>
            </w:pPr>
            <w:r>
              <w:rPr>
                <w:rFonts w:hint="eastAsia"/>
                <w:color w:val="000000"/>
                <w:sz w:val="18"/>
                <w:szCs w:val="18"/>
              </w:rPr>
              <w:t>101</w:t>
            </w:r>
          </w:p>
        </w:tc>
        <w:tc>
          <w:tcPr>
            <w:tcW w:w="579" w:type="dxa"/>
            <w:vAlign w:val="center"/>
          </w:tcPr>
          <w:p>
            <w:pPr>
              <w:jc w:val="center"/>
              <w:rPr>
                <w:color w:val="000000"/>
                <w:sz w:val="18"/>
                <w:szCs w:val="18"/>
              </w:rPr>
            </w:pPr>
            <w:r>
              <w:rPr>
                <w:rFonts w:hint="eastAsia"/>
                <w:color w:val="000000"/>
                <w:sz w:val="18"/>
                <w:szCs w:val="18"/>
              </w:rPr>
              <w:t>734</w:t>
            </w:r>
          </w:p>
        </w:tc>
        <w:tc>
          <w:tcPr>
            <w:tcW w:w="491" w:type="dxa"/>
            <w:vAlign w:val="center"/>
          </w:tcPr>
          <w:p>
            <w:pPr>
              <w:jc w:val="center"/>
              <w:rPr>
                <w:color w:val="000000"/>
                <w:sz w:val="18"/>
                <w:szCs w:val="18"/>
              </w:rPr>
            </w:pPr>
            <w:r>
              <w:rPr>
                <w:rFonts w:hint="eastAsia"/>
                <w:color w:val="000000"/>
                <w:sz w:val="18"/>
                <w:szCs w:val="18"/>
              </w:rPr>
              <w:t>90</w:t>
            </w:r>
          </w:p>
        </w:tc>
        <w:tc>
          <w:tcPr>
            <w:tcW w:w="491" w:type="dxa"/>
            <w:vAlign w:val="center"/>
          </w:tcPr>
          <w:p>
            <w:pPr>
              <w:jc w:val="center"/>
              <w:rPr>
                <w:color w:val="000000"/>
                <w:sz w:val="18"/>
                <w:szCs w:val="18"/>
              </w:rPr>
            </w:pPr>
            <w:r>
              <w:rPr>
                <w:rFonts w:hint="eastAsia"/>
                <w:color w:val="000000"/>
                <w:sz w:val="18"/>
                <w:szCs w:val="18"/>
              </w:rPr>
              <w:t>80</w:t>
            </w:r>
          </w:p>
        </w:tc>
        <w:tc>
          <w:tcPr>
            <w:tcW w:w="492" w:type="dxa"/>
            <w:vAlign w:val="center"/>
          </w:tcPr>
          <w:p>
            <w:pPr>
              <w:jc w:val="center"/>
              <w:rPr>
                <w:sz w:val="18"/>
                <w:szCs w:val="18"/>
              </w:rPr>
            </w:pPr>
            <w:r>
              <w:rPr>
                <w:rFonts w:hint="eastAsia"/>
                <w:sz w:val="18"/>
                <w:szCs w:val="18"/>
              </w:rPr>
              <w:t>88</w:t>
            </w:r>
          </w:p>
        </w:tc>
        <w:tc>
          <w:tcPr>
            <w:tcW w:w="492" w:type="dxa"/>
            <w:vAlign w:val="center"/>
          </w:tcPr>
          <w:p>
            <w:pPr>
              <w:jc w:val="center"/>
              <w:rPr>
                <w:sz w:val="18"/>
                <w:szCs w:val="18"/>
                <w:highlight w:val="yellow"/>
              </w:rPr>
            </w:pPr>
            <w:r>
              <w:rPr>
                <w:rFonts w:hint="eastAsia"/>
                <w:sz w:val="18"/>
                <w:szCs w:val="18"/>
              </w:rPr>
              <w:t>94</w:t>
            </w:r>
          </w:p>
        </w:tc>
        <w:tc>
          <w:tcPr>
            <w:tcW w:w="493" w:type="dxa"/>
            <w:vAlign w:val="center"/>
          </w:tcPr>
          <w:p>
            <w:pPr>
              <w:jc w:val="center"/>
              <w:rPr>
                <w:sz w:val="18"/>
                <w:szCs w:val="18"/>
                <w:highlight w:val="yellow"/>
              </w:rPr>
            </w:pPr>
            <w:r>
              <w:rPr>
                <w:rFonts w:hint="eastAsia"/>
                <w:sz w:val="18"/>
                <w:szCs w:val="18"/>
              </w:rPr>
              <w:t>36</w:t>
            </w:r>
          </w:p>
        </w:tc>
        <w:tc>
          <w:tcPr>
            <w:tcW w:w="646" w:type="dxa"/>
            <w:vAlign w:val="center"/>
          </w:tcPr>
          <w:p>
            <w:pPr>
              <w:jc w:val="center"/>
              <w:rPr>
                <w:sz w:val="18"/>
                <w:szCs w:val="18"/>
              </w:rPr>
            </w:pPr>
          </w:p>
        </w:tc>
      </w:tr>
    </w:tbl>
    <w:p>
      <w:pPr>
        <w:rPr>
          <w:sz w:val="24"/>
          <w:szCs w:val="24"/>
        </w:rPr>
      </w:pPr>
      <w:r>
        <w:rPr>
          <w:rFonts w:hint="eastAsia" w:cs="宋体"/>
          <w:sz w:val="24"/>
          <w:szCs w:val="24"/>
        </w:rPr>
        <w:t xml:space="preserve"> </w:t>
      </w:r>
    </w:p>
    <w:p/>
    <w:p>
      <w:pPr>
        <w:pStyle w:val="2"/>
        <w:spacing w:before="0" w:after="0" w:line="480" w:lineRule="exact"/>
        <w:rPr>
          <w:rFonts w:ascii="宋体" w:hAnsi="宋体"/>
          <w:sz w:val="28"/>
          <w:szCs w:val="28"/>
        </w:rPr>
      </w:pPr>
      <w:r>
        <w:rPr>
          <w:rFonts w:hint="eastAsia" w:ascii="宋体" w:hAnsi="宋体"/>
          <w:sz w:val="28"/>
          <w:szCs w:val="28"/>
        </w:rPr>
        <w:t>七</w:t>
      </w:r>
      <w:r>
        <w:rPr>
          <w:rFonts w:ascii="宋体" w:hAnsi="宋体"/>
          <w:sz w:val="28"/>
          <w:szCs w:val="28"/>
        </w:rPr>
        <w:t>、实施保障</w:t>
      </w:r>
      <w:r>
        <w:rPr>
          <w:rFonts w:hint="eastAsia" w:ascii="宋体" w:hAnsi="宋体"/>
          <w:sz w:val="28"/>
          <w:szCs w:val="28"/>
        </w:rPr>
        <w:t xml:space="preserve"> </w:t>
      </w:r>
    </w:p>
    <w:p>
      <w:pPr>
        <w:spacing w:line="480" w:lineRule="exact"/>
        <w:ind w:firstLine="480" w:firstLineChars="200"/>
        <w:rPr>
          <w:rFonts w:ascii="宋体" w:hAnsi="宋体" w:cs="Times New Roman"/>
          <w:sz w:val="24"/>
          <w:szCs w:val="24"/>
        </w:rPr>
      </w:pPr>
      <w:r>
        <w:rPr>
          <w:rFonts w:hint="eastAsia" w:ascii="宋体" w:hAnsi="宋体"/>
          <w:sz w:val="24"/>
          <w:szCs w:val="24"/>
        </w:rPr>
        <w:t>1.师资队伍：目前护理专业拥有师资18名，其中专职教师7名（包括基础医学教师4名，护理专业理论教师3名，实训教师3名），兼职教师11名，能满足护理教学的需要。年龄结构：35岁以下8人，35-45岁3人，45岁以上7人；学历结构：博士4人，硕士6人，本科8人；正高4人，副高3人，中级3人，初级8人。</w:t>
      </w:r>
    </w:p>
    <w:p>
      <w:pPr>
        <w:numPr>
          <w:ilvl w:val="0"/>
          <w:numId w:val="2"/>
        </w:numPr>
        <w:spacing w:line="480" w:lineRule="exact"/>
        <w:ind w:firstLine="480" w:firstLineChars="200"/>
        <w:rPr>
          <w:rFonts w:ascii="宋体" w:hAnsi="宋体" w:cs="Times New Roman"/>
          <w:sz w:val="24"/>
          <w:szCs w:val="24"/>
        </w:rPr>
      </w:pPr>
      <w:r>
        <w:rPr>
          <w:rFonts w:hint="eastAsia" w:ascii="宋体" w:hAnsi="宋体" w:cs="宋体"/>
          <w:sz w:val="24"/>
          <w:szCs w:val="24"/>
        </w:rPr>
        <w:t>本专业专任教师素质要求</w:t>
      </w:r>
    </w:p>
    <w:p>
      <w:pPr>
        <w:spacing w:line="480" w:lineRule="exact"/>
        <w:ind w:firstLine="480" w:firstLineChars="200"/>
        <w:rPr>
          <w:rFonts w:ascii="宋体" w:hAnsi="宋体" w:cs="Times New Roman"/>
          <w:sz w:val="24"/>
          <w:szCs w:val="24"/>
        </w:rPr>
      </w:pPr>
      <w:r>
        <w:rPr>
          <w:rFonts w:hint="eastAsia" w:ascii="宋体" w:hAnsi="宋体" w:cs="Times New Roman"/>
          <w:sz w:val="24"/>
          <w:szCs w:val="24"/>
        </w:rPr>
        <w:t>具备高校教师资格证书；具有良好的职业道德修养，爱岗敬业，有较强的工作责任心；具有护理相关专业本科及以上学历，具有扎实的本专业相关理论功底和实践能力；具有较强信息化教学能力，能够开课程教学改革和科学研究；有每5年累计不少于6个月的企业实践经历。</w:t>
      </w:r>
    </w:p>
    <w:p>
      <w:pPr>
        <w:spacing w:line="480" w:lineRule="exact"/>
        <w:ind w:firstLine="480" w:firstLineChars="200"/>
        <w:rPr>
          <w:rFonts w:ascii="宋体" w:hAnsi="宋体" w:cs="宋体"/>
          <w:sz w:val="24"/>
          <w:szCs w:val="24"/>
        </w:rPr>
      </w:pPr>
      <w:r>
        <w:rPr>
          <w:rFonts w:hint="eastAsia" w:ascii="宋体" w:hAnsi="宋体" w:cs="宋体"/>
          <w:sz w:val="24"/>
          <w:szCs w:val="24"/>
        </w:rPr>
        <w:t>（2）专业带头人</w:t>
      </w:r>
    </w:p>
    <w:p>
      <w:pPr>
        <w:spacing w:line="480" w:lineRule="exact"/>
        <w:ind w:firstLine="480" w:firstLineChars="200"/>
        <w:rPr>
          <w:rFonts w:ascii="宋体" w:hAnsi="宋体" w:cs="Times New Roman"/>
          <w:sz w:val="24"/>
          <w:szCs w:val="24"/>
        </w:rPr>
      </w:pPr>
      <w:r>
        <w:rPr>
          <w:rFonts w:hint="eastAsia" w:ascii="宋体" w:hAnsi="宋体" w:cs="Times New Roman"/>
          <w:sz w:val="24"/>
          <w:szCs w:val="24"/>
        </w:rPr>
        <w:t>高级职称，能够较好地把握国内外护理行业、专业发展，能广泛联系行业企业，了解行业企业对本专业人才的需求实际，教学设计、专业研究能力强，组织开展教科研工作能力强，在本区域具有较高的专业影响力。</w:t>
      </w:r>
    </w:p>
    <w:p>
      <w:pPr>
        <w:spacing w:line="480" w:lineRule="exact"/>
        <w:ind w:left="420" w:leftChars="200"/>
        <w:rPr>
          <w:rFonts w:ascii="宋体" w:hAnsi="宋体" w:cs="宋体"/>
          <w:sz w:val="24"/>
          <w:szCs w:val="24"/>
        </w:rPr>
      </w:pPr>
      <w:r>
        <w:rPr>
          <w:rFonts w:hint="eastAsia" w:ascii="宋体" w:hAnsi="宋体" w:cs="宋体"/>
          <w:sz w:val="24"/>
          <w:szCs w:val="24"/>
        </w:rPr>
        <w:t>（3）兼职（兼课）教师</w:t>
      </w:r>
    </w:p>
    <w:p>
      <w:pPr>
        <w:spacing w:line="480" w:lineRule="exact"/>
        <w:ind w:firstLine="480" w:firstLineChars="200"/>
        <w:rPr>
          <w:rFonts w:ascii="宋体" w:hAnsi="宋体" w:cs="Times New Roman"/>
          <w:sz w:val="24"/>
          <w:szCs w:val="24"/>
        </w:rPr>
      </w:pPr>
      <w:r>
        <w:rPr>
          <w:rFonts w:hint="eastAsia" w:ascii="宋体" w:hAnsi="宋体" w:cs="Times New Roman"/>
          <w:sz w:val="24"/>
          <w:szCs w:val="24"/>
        </w:rPr>
        <w:t>来自行业一线的技术能手，具有良好的思想政治素质、职业道德和工匠精神、丰富的实践经验和较为充足的理论知识；中级及以上相关专业职称，有较强的语言表达能力，能承担专业课程教学、实习实训指导和学生职业发展规划指导等教学任务。</w:t>
      </w:r>
    </w:p>
    <w:p>
      <w:pPr>
        <w:spacing w:line="480" w:lineRule="exact"/>
        <w:ind w:firstLine="480" w:firstLineChars="200"/>
        <w:rPr>
          <w:rFonts w:ascii="宋体" w:hAnsi="宋体" w:cs="Times New Roman"/>
          <w:sz w:val="24"/>
          <w:szCs w:val="24"/>
        </w:rPr>
      </w:pPr>
      <w:r>
        <w:rPr>
          <w:rFonts w:hint="eastAsia" w:ascii="宋体" w:hAnsi="宋体" w:cs="Times New Roman"/>
          <w:sz w:val="24"/>
          <w:szCs w:val="24"/>
        </w:rPr>
        <w:t>2.教学设施</w:t>
      </w:r>
    </w:p>
    <w:p>
      <w:pPr>
        <w:spacing w:line="480" w:lineRule="exact"/>
        <w:ind w:firstLine="480" w:firstLineChars="200"/>
        <w:rPr>
          <w:rFonts w:ascii="宋体" w:hAnsi="宋体" w:cs="Times New Roman"/>
          <w:sz w:val="24"/>
          <w:szCs w:val="24"/>
        </w:rPr>
      </w:pPr>
      <w:r>
        <w:rPr>
          <w:rFonts w:hint="eastAsia" w:ascii="宋体" w:hAnsi="宋体" w:cs="Times New Roman"/>
          <w:sz w:val="24"/>
          <w:szCs w:val="24"/>
        </w:rPr>
        <w:t>主要包括能够满足正常的课程教学、实习实训所需的专业教室、校内实训室和校外实训基地等。</w:t>
      </w:r>
    </w:p>
    <w:p>
      <w:pPr>
        <w:spacing w:line="480" w:lineRule="exact"/>
        <w:ind w:firstLine="480" w:firstLineChars="200"/>
        <w:rPr>
          <w:rFonts w:ascii="宋体" w:hAnsi="宋体" w:cs="Times New Roman"/>
          <w:sz w:val="24"/>
          <w:szCs w:val="24"/>
        </w:rPr>
      </w:pPr>
      <w:r>
        <w:rPr>
          <w:rFonts w:hint="eastAsia" w:ascii="宋体" w:hAnsi="宋体" w:cs="Times New Roman"/>
          <w:sz w:val="24"/>
          <w:szCs w:val="24"/>
        </w:rPr>
        <w:t>（1）专业教室基本条件</w:t>
      </w:r>
    </w:p>
    <w:p>
      <w:pPr>
        <w:spacing w:line="480" w:lineRule="exact"/>
        <w:ind w:firstLine="480" w:firstLineChars="200"/>
        <w:rPr>
          <w:rFonts w:ascii="宋体" w:hAnsi="宋体" w:cs="Times New Roman"/>
          <w:sz w:val="24"/>
          <w:szCs w:val="24"/>
        </w:rPr>
      </w:pPr>
      <w:r>
        <w:rPr>
          <w:rFonts w:hint="eastAsia" w:ascii="宋体" w:hAnsi="宋体" w:cs="Times New Roman"/>
          <w:sz w:val="24"/>
          <w:szCs w:val="24"/>
        </w:rPr>
        <w:t>配备有白板、多媒体计算机、音响、投影仪、WiFi环境，并设有网络安全防护设施；应急照明装置，紧急疏散通道、标识等。</w:t>
      </w:r>
    </w:p>
    <w:p>
      <w:pPr>
        <w:spacing w:line="480" w:lineRule="exact"/>
        <w:ind w:firstLine="480" w:firstLineChars="200"/>
        <w:rPr>
          <w:rFonts w:ascii="宋体" w:hAnsi="宋体" w:cs="Times New Roman"/>
          <w:sz w:val="24"/>
          <w:szCs w:val="24"/>
        </w:rPr>
      </w:pPr>
      <w:r>
        <w:rPr>
          <w:rFonts w:hint="eastAsia" w:ascii="宋体" w:hAnsi="宋体" w:cs="Times New Roman"/>
          <w:sz w:val="24"/>
          <w:szCs w:val="24"/>
        </w:rPr>
        <w:t>（2）校内实训室</w:t>
      </w:r>
    </w:p>
    <w:p>
      <w:pPr>
        <w:spacing w:line="480" w:lineRule="exact"/>
        <w:ind w:firstLine="480" w:firstLineChars="200"/>
        <w:rPr>
          <w:rFonts w:ascii="宋体" w:hAnsi="宋体" w:cs="Times New Roman"/>
          <w:sz w:val="24"/>
          <w:szCs w:val="24"/>
        </w:rPr>
      </w:pPr>
      <w:r>
        <w:rPr>
          <w:rFonts w:hint="eastAsia" w:ascii="宋体" w:hAnsi="宋体" w:cs="Times New Roman"/>
          <w:sz w:val="24"/>
          <w:szCs w:val="24"/>
        </w:rPr>
        <w:t>基础护理实训室。配备有备用床、麻醉床、多功能病床、多功能护理人、鼻饲模型、导尿及灌肠模型、各类给药模型等。</w:t>
      </w:r>
    </w:p>
    <w:p>
      <w:pPr>
        <w:spacing w:line="480" w:lineRule="exact"/>
        <w:ind w:firstLine="480" w:firstLineChars="200"/>
        <w:rPr>
          <w:rFonts w:ascii="宋体" w:hAnsi="宋体" w:cs="Times New Roman"/>
          <w:sz w:val="24"/>
          <w:szCs w:val="24"/>
        </w:rPr>
      </w:pPr>
      <w:r>
        <w:rPr>
          <w:rFonts w:hint="eastAsia" w:ascii="宋体" w:hAnsi="宋体" w:cs="Times New Roman"/>
          <w:sz w:val="24"/>
          <w:szCs w:val="24"/>
        </w:rPr>
        <w:t>专项护理技术实训室。配有智能化胸腹部检查教学仪、心电图机、心肺复苏训练模拟人、快速血糖仪、心电监护仪、局部创伤模型、瘘管造口术护理模型、手术器械台、常用手术器械包、胎心监护仪、分娩综合技能模型、婴儿护理模型、老年护理模拟人等。</w:t>
      </w:r>
    </w:p>
    <w:p>
      <w:pPr>
        <w:spacing w:line="480" w:lineRule="exact"/>
        <w:ind w:firstLine="480" w:firstLineChars="200"/>
        <w:rPr>
          <w:rFonts w:ascii="宋体" w:hAnsi="宋体" w:cs="Times New Roman"/>
          <w:sz w:val="24"/>
          <w:szCs w:val="24"/>
        </w:rPr>
      </w:pPr>
      <w:r>
        <w:rPr>
          <w:rFonts w:hint="eastAsia" w:ascii="宋体" w:hAnsi="宋体" w:cs="Times New Roman"/>
          <w:sz w:val="24"/>
          <w:szCs w:val="24"/>
        </w:rPr>
        <w:t>拓展护理技术实训室。配有物理治疗训练床、肩关节回旋训练器、助行器、多媒体按摩点穴电子人体模型、家庭访视包、约束床、智能身心反馈音乐放松仪等。</w:t>
      </w:r>
    </w:p>
    <w:p>
      <w:pPr>
        <w:spacing w:line="480" w:lineRule="exact"/>
        <w:ind w:firstLine="480" w:firstLineChars="200"/>
        <w:rPr>
          <w:rFonts w:ascii="宋体" w:hAnsi="宋体" w:cs="Times New Roman"/>
          <w:sz w:val="24"/>
          <w:szCs w:val="24"/>
        </w:rPr>
      </w:pPr>
      <w:r>
        <w:rPr>
          <w:rFonts w:hint="eastAsia" w:ascii="宋体" w:hAnsi="宋体" w:cs="Times New Roman"/>
          <w:sz w:val="24"/>
          <w:szCs w:val="24"/>
        </w:rPr>
        <w:t>以上设备配置符合教育部颁发的《职业院校护理专业仪器设备装备规范》要求，并配备相应的专职实训管理人员以及完善的实训室管理制度，能满足校内实践教学、技能考核等多重功能要求。</w:t>
      </w:r>
    </w:p>
    <w:p>
      <w:pPr>
        <w:spacing w:line="480" w:lineRule="exact"/>
        <w:ind w:firstLine="480" w:firstLineChars="200"/>
        <w:rPr>
          <w:rFonts w:ascii="宋体" w:hAnsi="宋体" w:cs="Times New Roman"/>
          <w:b/>
          <w:bCs/>
          <w:sz w:val="24"/>
          <w:szCs w:val="24"/>
        </w:rPr>
      </w:pPr>
      <w:r>
        <w:rPr>
          <w:rFonts w:hint="eastAsia" w:ascii="宋体" w:hAnsi="宋体" w:cs="Times New Roman"/>
          <w:sz w:val="24"/>
          <w:szCs w:val="24"/>
        </w:rPr>
        <w:t>(3）校外实训、实习基地</w:t>
      </w:r>
    </w:p>
    <w:tbl>
      <w:tblPr>
        <w:tblStyle w:val="12"/>
        <w:tblW w:w="827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27"/>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76" w:type="dxa"/>
            <w:vAlign w:val="center"/>
          </w:tcPr>
          <w:p>
            <w:pPr>
              <w:spacing w:line="480" w:lineRule="exact"/>
              <w:jc w:val="center"/>
              <w:rPr>
                <w:rFonts w:ascii="宋体" w:hAnsi="宋体" w:cs="Times New Roman"/>
                <w:b/>
                <w:bCs/>
                <w:sz w:val="24"/>
                <w:szCs w:val="24"/>
                <w:shd w:val="clear" w:color="auto" w:fill="FFFFFF"/>
              </w:rPr>
            </w:pPr>
            <w:r>
              <w:rPr>
                <w:rFonts w:hint="eastAsia" w:ascii="宋体" w:hAnsi="宋体" w:cs="Times New Roman"/>
                <w:b/>
                <w:bCs/>
                <w:sz w:val="24"/>
                <w:szCs w:val="24"/>
                <w:shd w:val="clear" w:color="auto" w:fill="FFFFFF"/>
              </w:rPr>
              <w:t>企业类型</w:t>
            </w:r>
          </w:p>
        </w:tc>
        <w:tc>
          <w:tcPr>
            <w:tcW w:w="727" w:type="dxa"/>
            <w:vAlign w:val="center"/>
          </w:tcPr>
          <w:p>
            <w:pPr>
              <w:spacing w:line="480" w:lineRule="exact"/>
              <w:jc w:val="center"/>
              <w:rPr>
                <w:rFonts w:ascii="宋体" w:hAnsi="宋体" w:cs="Times New Roman"/>
                <w:b/>
                <w:bCs/>
                <w:sz w:val="24"/>
                <w:szCs w:val="24"/>
                <w:shd w:val="clear" w:color="auto" w:fill="FFFFFF"/>
              </w:rPr>
            </w:pPr>
            <w:r>
              <w:rPr>
                <w:rFonts w:hint="eastAsia" w:ascii="宋体" w:hAnsi="宋体" w:cs="Times New Roman"/>
                <w:b/>
                <w:bCs/>
                <w:sz w:val="24"/>
                <w:szCs w:val="24"/>
                <w:shd w:val="clear" w:color="auto" w:fill="FFFFFF"/>
              </w:rPr>
              <w:t>数量</w:t>
            </w:r>
          </w:p>
        </w:tc>
        <w:tc>
          <w:tcPr>
            <w:tcW w:w="6269" w:type="dxa"/>
            <w:vAlign w:val="center"/>
          </w:tcPr>
          <w:p>
            <w:pPr>
              <w:spacing w:line="480" w:lineRule="exact"/>
              <w:jc w:val="center"/>
              <w:rPr>
                <w:rFonts w:ascii="宋体" w:hAnsi="宋体" w:cs="Times New Roman"/>
                <w:b/>
                <w:bCs/>
                <w:sz w:val="24"/>
                <w:szCs w:val="24"/>
                <w:shd w:val="clear" w:color="auto" w:fill="FFFFFF"/>
              </w:rPr>
            </w:pPr>
            <w:r>
              <w:rPr>
                <w:rFonts w:hint="eastAsia" w:ascii="宋体" w:hAnsi="宋体" w:cs="Times New Roman"/>
                <w:b/>
                <w:bCs/>
                <w:sz w:val="24"/>
                <w:szCs w:val="24"/>
                <w:shd w:val="clear" w:color="auto" w:fill="FFFFFF"/>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pPr>
              <w:spacing w:line="480" w:lineRule="exact"/>
              <w:jc w:val="center"/>
              <w:rPr>
                <w:rFonts w:ascii="宋体" w:hAnsi="宋体" w:cs="Times New Roman"/>
                <w:sz w:val="24"/>
                <w:szCs w:val="24"/>
                <w:shd w:val="clear" w:color="auto" w:fill="FFFFFF"/>
              </w:rPr>
            </w:pPr>
            <w:r>
              <w:rPr>
                <w:rFonts w:hint="eastAsia" w:ascii="宋体" w:hAnsi="宋体" w:cs="Times New Roman"/>
                <w:sz w:val="24"/>
                <w:szCs w:val="24"/>
                <w:shd w:val="clear" w:color="auto" w:fill="FFFFFF"/>
              </w:rPr>
              <w:t>事业单位</w:t>
            </w:r>
          </w:p>
        </w:tc>
        <w:tc>
          <w:tcPr>
            <w:tcW w:w="727" w:type="dxa"/>
            <w:vAlign w:val="center"/>
          </w:tcPr>
          <w:p>
            <w:pPr>
              <w:spacing w:line="480" w:lineRule="exact"/>
              <w:jc w:val="center"/>
              <w:rPr>
                <w:rFonts w:ascii="宋体" w:hAnsi="宋体" w:cs="Times New Roman"/>
                <w:sz w:val="24"/>
                <w:szCs w:val="24"/>
                <w:shd w:val="clear" w:color="auto" w:fill="FFFFFF"/>
              </w:rPr>
            </w:pPr>
            <w:r>
              <w:rPr>
                <w:rFonts w:hint="eastAsia" w:ascii="宋体" w:hAnsi="宋体" w:cs="Times New Roman"/>
                <w:sz w:val="24"/>
                <w:szCs w:val="24"/>
                <w:shd w:val="clear" w:color="auto" w:fill="FFFFFF"/>
              </w:rPr>
              <w:t>10</w:t>
            </w:r>
          </w:p>
        </w:tc>
        <w:tc>
          <w:tcPr>
            <w:tcW w:w="6269" w:type="dxa"/>
            <w:vAlign w:val="center"/>
          </w:tcPr>
          <w:p>
            <w:pPr>
              <w:spacing w:line="480" w:lineRule="exact"/>
              <w:rPr>
                <w:rFonts w:ascii="宋体" w:hAnsi="宋体" w:cs="Times New Roman"/>
                <w:sz w:val="24"/>
                <w:szCs w:val="24"/>
                <w:shd w:val="clear" w:color="auto" w:fill="FFFFFF"/>
              </w:rPr>
            </w:pPr>
            <w:r>
              <w:rPr>
                <w:rFonts w:hint="eastAsia" w:ascii="宋体" w:hAnsi="宋体" w:cs="Times New Roman"/>
                <w:sz w:val="24"/>
                <w:szCs w:val="24"/>
                <w:shd w:val="clear" w:color="auto" w:fill="FFFFFF"/>
              </w:rPr>
              <w:t>省内二甲及以上级别综合性医院及专科医院，让学生深入一线工作实际，培养学生良好的职业道德，严谨的工作态度，理实、技能紧密结合，提高分析、解决问题的能力，从而为毕业后从事医疗护理各岗位工作打下基础。</w:t>
            </w:r>
          </w:p>
        </w:tc>
      </w:tr>
    </w:tbl>
    <w:p>
      <w:pPr>
        <w:overflowPunct w:val="0"/>
        <w:ind w:firstLine="120" w:firstLineChars="50"/>
        <w:rPr>
          <w:rFonts w:ascii="宋体" w:hAnsi="宋体" w:cs="Times New Roman"/>
          <w:sz w:val="40"/>
          <w:szCs w:val="24"/>
        </w:rPr>
      </w:pPr>
      <w:r>
        <w:rPr>
          <w:rFonts w:hint="eastAsia" w:ascii="宋体" w:hAnsi="宋体" w:cs="Times New Roman"/>
          <w:sz w:val="24"/>
          <w:szCs w:val="18"/>
        </w:rPr>
        <w:t>注：“企业类型”表示什么样的企业，例如：技术服务公司、设备供应商、经销商、企事业单位、制造类企业、设计类企业等。</w:t>
      </w:r>
    </w:p>
    <w:p>
      <w:pPr>
        <w:spacing w:line="480" w:lineRule="exact"/>
        <w:ind w:firstLine="480" w:firstLineChars="200"/>
        <w:rPr>
          <w:rFonts w:ascii="宋体" w:hAnsi="宋体" w:cs="Times New Roman"/>
          <w:sz w:val="24"/>
          <w:szCs w:val="24"/>
        </w:rPr>
      </w:pPr>
      <w:r>
        <w:rPr>
          <w:rFonts w:hint="eastAsia" w:ascii="宋体" w:hAnsi="宋体" w:cs="Times New Roman"/>
          <w:sz w:val="24"/>
          <w:szCs w:val="24"/>
        </w:rPr>
        <w:t>3.教学资源</w:t>
      </w:r>
    </w:p>
    <w:p>
      <w:pPr>
        <w:spacing w:line="480" w:lineRule="exact"/>
        <w:ind w:firstLine="480" w:firstLineChars="200"/>
        <w:rPr>
          <w:rFonts w:ascii="宋体" w:hAnsi="宋体" w:cs="Times New Roman"/>
          <w:sz w:val="24"/>
          <w:szCs w:val="24"/>
        </w:rPr>
      </w:pPr>
      <w:r>
        <w:rPr>
          <w:rFonts w:hint="eastAsia" w:ascii="宋体" w:hAnsi="宋体" w:cs="Times New Roman"/>
          <w:sz w:val="24"/>
          <w:szCs w:val="24"/>
        </w:rPr>
        <w:t>(1）教材</w:t>
      </w:r>
    </w:p>
    <w:p>
      <w:pPr>
        <w:spacing w:line="480" w:lineRule="exact"/>
        <w:ind w:firstLine="480" w:firstLineChars="200"/>
        <w:rPr>
          <w:rFonts w:ascii="宋体" w:hAnsi="宋体" w:cs="Times New Roman"/>
          <w:sz w:val="24"/>
          <w:szCs w:val="24"/>
        </w:rPr>
      </w:pPr>
      <w:r>
        <w:rPr>
          <w:rFonts w:hint="eastAsia" w:ascii="宋体" w:hAnsi="宋体" w:cs="Times New Roman"/>
          <w:sz w:val="24"/>
          <w:szCs w:val="24"/>
        </w:rPr>
        <w:t>有专业课程教材建设计划和教材选用制度，执行情况良好。重视核心课程建设和课程教材内容的更新，教材内容符合专业培养目标要求。必修课优先选用高职高专推荐教材或规划教材，其中教育部高职高专规划或优秀教材和自编教材及讲义的比例≥70%。自编教材内容要符合教学要求，经过专家鉴定同意使用；实验室实训课时比重较大的专业核心课程必须有独立的实验、实训指导教材；</w:t>
      </w:r>
    </w:p>
    <w:p>
      <w:pPr>
        <w:spacing w:line="480" w:lineRule="exact"/>
        <w:ind w:firstLine="480" w:firstLineChars="200"/>
        <w:rPr>
          <w:rFonts w:ascii="宋体" w:hAnsi="宋体" w:cs="Times New Roman"/>
          <w:sz w:val="24"/>
          <w:szCs w:val="24"/>
        </w:rPr>
      </w:pPr>
      <w:r>
        <w:rPr>
          <w:rFonts w:hint="eastAsia" w:ascii="宋体" w:hAnsi="宋体" w:cs="Times New Roman"/>
          <w:sz w:val="24"/>
          <w:szCs w:val="24"/>
        </w:rPr>
        <w:t>（2）专业图书材料</w:t>
      </w:r>
    </w:p>
    <w:p>
      <w:pPr>
        <w:spacing w:line="480" w:lineRule="exact"/>
        <w:ind w:firstLine="480" w:firstLineChars="200"/>
        <w:rPr>
          <w:rFonts w:ascii="宋体" w:hAnsi="宋体" w:cs="Times New Roman"/>
          <w:sz w:val="24"/>
          <w:szCs w:val="24"/>
        </w:rPr>
      </w:pPr>
      <w:r>
        <w:rPr>
          <w:rFonts w:hint="eastAsia" w:ascii="宋体" w:hAnsi="宋体" w:cs="Times New Roman"/>
          <w:sz w:val="24"/>
          <w:szCs w:val="24"/>
        </w:rPr>
        <w:t>学院图书馆面积5000平方米，馆藏纸质图书88万册，电子图书33万册 ，电子专业期刊100种。计划购入1.8万册中医药类专业书籍，相关杂志50余种，能满足专业的教学需要，具有本专业信息资料查阅所需的计算机网络系统。</w:t>
      </w:r>
    </w:p>
    <w:p>
      <w:pPr>
        <w:spacing w:line="480" w:lineRule="exact"/>
        <w:ind w:firstLine="480" w:firstLineChars="200"/>
        <w:rPr>
          <w:rFonts w:ascii="宋体" w:hAnsi="宋体" w:cs="Times New Roman"/>
          <w:sz w:val="24"/>
          <w:szCs w:val="24"/>
        </w:rPr>
      </w:pPr>
      <w:r>
        <w:rPr>
          <w:rFonts w:hint="eastAsia" w:ascii="宋体" w:hAnsi="宋体" w:cs="Times New Roman"/>
          <w:sz w:val="24"/>
          <w:szCs w:val="24"/>
        </w:rPr>
        <w:t>（3）数字化教学资源</w:t>
      </w:r>
    </w:p>
    <w:p>
      <w:pPr>
        <w:spacing w:line="480" w:lineRule="exact"/>
        <w:ind w:firstLine="480" w:firstLineChars="200"/>
        <w:rPr>
          <w:rFonts w:ascii="宋体" w:hAnsi="宋体" w:cs="Times New Roman"/>
          <w:sz w:val="24"/>
          <w:szCs w:val="24"/>
        </w:rPr>
      </w:pPr>
      <w:r>
        <w:rPr>
          <w:rFonts w:hint="eastAsia" w:ascii="宋体" w:hAnsi="宋体" w:cs="Times New Roman"/>
          <w:sz w:val="24"/>
          <w:szCs w:val="24"/>
        </w:rPr>
        <w:t>学院近年来投入逾千万元高标准建成校内经管学科跨专业综合仿真实习、云计算、云桌面等平台，着力构建数字化、信息化管理学习环培，利用信息技术开发数字化专业学习资源，有效利用数字化学习资源开展教学活动。合理建设立体数字化教材和各类专业教学系统，能满足专业教学的需要。</w:t>
      </w:r>
    </w:p>
    <w:p>
      <w:pPr>
        <w:spacing w:line="480" w:lineRule="exact"/>
        <w:ind w:firstLine="480" w:firstLineChars="200"/>
        <w:jc w:val="left"/>
        <w:rPr>
          <w:rFonts w:ascii="宋体" w:hAnsi="宋体"/>
          <w:sz w:val="24"/>
          <w:szCs w:val="24"/>
          <w:u w:val="single"/>
        </w:rPr>
      </w:pPr>
      <w:bookmarkStart w:id="0" w:name="_GoBack"/>
      <w:bookmarkEnd w:id="0"/>
    </w:p>
    <w:p>
      <w:pPr>
        <w:pStyle w:val="2"/>
        <w:spacing w:before="0" w:after="0" w:line="480" w:lineRule="exact"/>
        <w:rPr>
          <w:rFonts w:ascii="宋体" w:hAnsi="宋体"/>
          <w:sz w:val="28"/>
          <w:szCs w:val="28"/>
        </w:rPr>
      </w:pPr>
      <w:r>
        <w:rPr>
          <w:rFonts w:hint="eastAsia" w:ascii="宋体" w:hAnsi="宋体"/>
          <w:sz w:val="28"/>
          <w:szCs w:val="28"/>
        </w:rPr>
        <w:t>八</w:t>
      </w:r>
      <w:r>
        <w:rPr>
          <w:rFonts w:ascii="宋体" w:hAnsi="宋体"/>
          <w:sz w:val="28"/>
          <w:szCs w:val="28"/>
        </w:rPr>
        <w:t>、毕业要求</w:t>
      </w:r>
    </w:p>
    <w:p>
      <w:pPr>
        <w:spacing w:line="480" w:lineRule="exact"/>
        <w:ind w:firstLine="480" w:firstLineChars="200"/>
        <w:jc w:val="left"/>
        <w:rPr>
          <w:rFonts w:ascii="宋体" w:hAnsi="宋体"/>
          <w:sz w:val="24"/>
          <w:szCs w:val="24"/>
        </w:rPr>
      </w:pPr>
      <w:r>
        <w:rPr>
          <w:rFonts w:hint="eastAsia" w:ascii="宋体" w:hAnsi="宋体"/>
          <w:sz w:val="24"/>
          <w:szCs w:val="24"/>
        </w:rPr>
        <w:t>学生在基本学制2.5年</w:t>
      </w:r>
      <w:r>
        <w:rPr>
          <w:rFonts w:ascii="宋体" w:hAnsi="宋体"/>
          <w:sz w:val="24"/>
          <w:szCs w:val="24"/>
        </w:rPr>
        <w:t>的专业人才培养方案所规</w:t>
      </w:r>
      <w:r>
        <w:rPr>
          <w:rFonts w:hint="eastAsia" w:ascii="宋体" w:hAnsi="宋体"/>
          <w:sz w:val="24"/>
          <w:szCs w:val="24"/>
        </w:rPr>
        <w:t>定的1314</w:t>
      </w:r>
      <w:r>
        <w:rPr>
          <w:rFonts w:ascii="宋体" w:hAnsi="宋体"/>
          <w:sz w:val="24"/>
          <w:szCs w:val="24"/>
        </w:rPr>
        <w:t>学时</w:t>
      </w:r>
      <w:r>
        <w:rPr>
          <w:rFonts w:hint="eastAsia" w:ascii="宋体" w:hAnsi="宋体"/>
          <w:sz w:val="24"/>
          <w:szCs w:val="24"/>
        </w:rPr>
        <w:t>，73</w:t>
      </w:r>
      <w:r>
        <w:rPr>
          <w:rFonts w:ascii="宋体" w:hAnsi="宋体"/>
          <w:sz w:val="24"/>
          <w:szCs w:val="24"/>
        </w:rPr>
        <w:t>学分，完成规定的教学活动，</w:t>
      </w:r>
      <w:r>
        <w:rPr>
          <w:rFonts w:hint="eastAsia" w:ascii="宋体" w:hAnsi="宋体"/>
          <w:sz w:val="24"/>
          <w:szCs w:val="24"/>
        </w:rPr>
        <w:t>达到培养规格规定</w:t>
      </w:r>
      <w:r>
        <w:rPr>
          <w:rFonts w:ascii="宋体" w:hAnsi="宋体"/>
          <w:sz w:val="24"/>
          <w:szCs w:val="24"/>
        </w:rPr>
        <w:t>的素质、知识和能力等要求</w:t>
      </w:r>
      <w:r>
        <w:rPr>
          <w:rFonts w:hint="eastAsia" w:ascii="宋体" w:hAnsi="宋体"/>
          <w:sz w:val="24"/>
          <w:szCs w:val="24"/>
        </w:rPr>
        <w:t>，准予毕业。</w:t>
      </w:r>
    </w:p>
    <w:p>
      <w:pPr>
        <w:spacing w:line="480" w:lineRule="exact"/>
        <w:ind w:firstLine="480" w:firstLineChars="200"/>
        <w:jc w:val="left"/>
        <w:rPr>
          <w:rFonts w:ascii="宋体" w:hAnsi="宋体"/>
          <w:sz w:val="24"/>
          <w:szCs w:val="24"/>
        </w:rPr>
      </w:pPr>
    </w:p>
    <w:p>
      <w:pPr>
        <w:spacing w:line="480" w:lineRule="exact"/>
        <w:ind w:firstLine="482" w:firstLineChars="200"/>
        <w:jc w:val="left"/>
        <w:rPr>
          <w:rFonts w:ascii="宋体" w:hAnsi="宋体"/>
          <w:b/>
          <w:sz w:val="24"/>
          <w:szCs w:val="24"/>
          <w:u w:val="single"/>
        </w:rPr>
      </w:pPr>
    </w:p>
    <w:p>
      <w:pPr>
        <w:spacing w:line="480" w:lineRule="exact"/>
        <w:ind w:firstLine="482" w:firstLineChars="200"/>
        <w:jc w:val="left"/>
        <w:rPr>
          <w:rFonts w:hint="default" w:ascii="宋体" w:hAnsi="宋体" w:eastAsia="宋体"/>
          <w:b/>
          <w:sz w:val="24"/>
          <w:szCs w:val="24"/>
          <w:lang w:val="en-US" w:eastAsia="zh-CN"/>
        </w:rPr>
      </w:pPr>
      <w:r>
        <w:rPr>
          <w:rFonts w:hint="eastAsia" w:ascii="宋体" w:hAnsi="宋体"/>
          <w:b/>
          <w:sz w:val="24"/>
          <w:szCs w:val="24"/>
        </w:rPr>
        <w:t>撰稿人：林淡芸                 审核人：</w:t>
      </w:r>
      <w:r>
        <w:rPr>
          <w:rFonts w:hint="eastAsia" w:ascii="宋体" w:hAnsi="宋体"/>
          <w:b/>
          <w:sz w:val="24"/>
          <w:szCs w:val="24"/>
          <w:lang w:val="en-US" w:eastAsia="zh-CN"/>
        </w:rPr>
        <w:t>彭刚艺</w:t>
      </w:r>
    </w:p>
    <w:p>
      <w:pPr>
        <w:spacing w:line="480" w:lineRule="exact"/>
        <w:ind w:firstLine="482" w:firstLineChars="200"/>
        <w:jc w:val="left"/>
        <w:rPr>
          <w:rFonts w:ascii="宋体" w:hAnsi="宋体"/>
          <w:b/>
          <w:sz w:val="24"/>
          <w:szCs w:val="24"/>
        </w:rPr>
      </w:pPr>
      <w:r>
        <w:rPr>
          <w:rFonts w:hint="eastAsia" w:ascii="宋体" w:hAnsi="宋体"/>
          <w:b/>
          <w:sz w:val="24"/>
          <w:szCs w:val="24"/>
        </w:rPr>
        <w:t>日期：</w:t>
      </w:r>
      <w:r>
        <w:rPr>
          <w:rFonts w:ascii="宋体" w:hAnsi="宋体"/>
          <w:b/>
          <w:sz w:val="24"/>
          <w:szCs w:val="24"/>
        </w:rPr>
        <w:t>2021年3月31日</w:t>
      </w:r>
      <w:r>
        <w:rPr>
          <w:rFonts w:hint="eastAsia" w:ascii="宋体" w:hAnsi="宋体"/>
          <w:b/>
          <w:sz w:val="24"/>
          <w:szCs w:val="24"/>
        </w:rPr>
        <w:t xml:space="preserve">            日期：</w:t>
      </w:r>
      <w:r>
        <w:rPr>
          <w:rFonts w:ascii="宋体" w:hAnsi="宋体"/>
          <w:b/>
          <w:sz w:val="24"/>
          <w:szCs w:val="24"/>
        </w:rPr>
        <w:t>202</w:t>
      </w:r>
      <w:r>
        <w:rPr>
          <w:rFonts w:hint="eastAsia" w:ascii="宋体" w:hAnsi="宋体"/>
          <w:b/>
          <w:sz w:val="24"/>
          <w:szCs w:val="24"/>
          <w:lang w:val="en-US" w:eastAsia="zh-CN"/>
        </w:rPr>
        <w:t>2</w:t>
      </w:r>
      <w:r>
        <w:rPr>
          <w:rFonts w:ascii="宋体" w:hAnsi="宋体"/>
          <w:b/>
          <w:sz w:val="24"/>
          <w:szCs w:val="24"/>
        </w:rPr>
        <w:t>年</w:t>
      </w:r>
      <w:r>
        <w:rPr>
          <w:rFonts w:hint="eastAsia" w:ascii="宋体" w:hAnsi="宋体"/>
          <w:b/>
          <w:sz w:val="24"/>
          <w:szCs w:val="24"/>
          <w:lang w:val="en-US" w:eastAsia="zh-CN"/>
        </w:rPr>
        <w:t>1</w:t>
      </w:r>
      <w:r>
        <w:rPr>
          <w:rFonts w:ascii="宋体" w:hAnsi="宋体"/>
          <w:b/>
          <w:sz w:val="24"/>
          <w:szCs w:val="24"/>
        </w:rPr>
        <w:t>月</w:t>
      </w:r>
      <w:r>
        <w:rPr>
          <w:rFonts w:hint="eastAsia" w:ascii="宋体" w:hAnsi="宋体"/>
          <w:b/>
          <w:sz w:val="24"/>
          <w:szCs w:val="24"/>
          <w:lang w:val="en-US" w:eastAsia="zh-CN"/>
        </w:rPr>
        <w:t>14</w:t>
      </w:r>
      <w:r>
        <w:rPr>
          <w:rFonts w:ascii="宋体" w:hAnsi="宋体"/>
          <w:b/>
          <w:sz w:val="24"/>
          <w:szCs w:val="24"/>
        </w:rPr>
        <w:t>日</w:t>
      </w:r>
    </w:p>
    <w:p>
      <w:pPr>
        <w:shd w:val="clear" w:color="auto" w:fill="FFFFFF"/>
        <w:spacing w:line="480" w:lineRule="exact"/>
        <w:jc w:val="left"/>
        <w:rPr>
          <w:rFonts w:ascii="宋体" w:hAnsi="宋体"/>
          <w:sz w:val="24"/>
          <w:szCs w:val="24"/>
        </w:rPr>
      </w:pPr>
    </w:p>
    <w:sectPr>
      <w:footerReference r:id="rId4" w:type="first"/>
      <w:footerReference r:id="rId3" w:type="default"/>
      <w:pgSz w:w="11906" w:h="16838"/>
      <w:pgMar w:top="1417" w:right="1134" w:bottom="1417" w:left="1134"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1</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EC3790"/>
    <w:multiLevelType w:val="singleLevel"/>
    <w:tmpl w:val="F2EC3790"/>
    <w:lvl w:ilvl="0" w:tentative="0">
      <w:start w:val="1"/>
      <w:numFmt w:val="decimal"/>
      <w:suff w:val="nothing"/>
      <w:lvlText w:val="（%1）"/>
      <w:lvlJc w:val="left"/>
    </w:lvl>
  </w:abstractNum>
  <w:abstractNum w:abstractNumId="1">
    <w:nsid w:val="5A303096"/>
    <w:multiLevelType w:val="multilevel"/>
    <w:tmpl w:val="5A303096"/>
    <w:lvl w:ilvl="0" w:tentative="0">
      <w:start w:val="5"/>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NotTrackMoves/>
  <w:trackRevisions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986"/>
    <w:rsid w:val="00010FFA"/>
    <w:rsid w:val="00034335"/>
    <w:rsid w:val="00066A47"/>
    <w:rsid w:val="000800E7"/>
    <w:rsid w:val="00093DF0"/>
    <w:rsid w:val="00094885"/>
    <w:rsid w:val="000A0AB8"/>
    <w:rsid w:val="000A162B"/>
    <w:rsid w:val="000A5B9F"/>
    <w:rsid w:val="000B2063"/>
    <w:rsid w:val="000B4693"/>
    <w:rsid w:val="000C1901"/>
    <w:rsid w:val="000C4BC2"/>
    <w:rsid w:val="000D1D72"/>
    <w:rsid w:val="000E7C8F"/>
    <w:rsid w:val="00102E86"/>
    <w:rsid w:val="0010600D"/>
    <w:rsid w:val="001124FA"/>
    <w:rsid w:val="00114AC1"/>
    <w:rsid w:val="00122AD9"/>
    <w:rsid w:val="00123D86"/>
    <w:rsid w:val="001321CD"/>
    <w:rsid w:val="00132255"/>
    <w:rsid w:val="00133C94"/>
    <w:rsid w:val="00134DC5"/>
    <w:rsid w:val="00135026"/>
    <w:rsid w:val="00135C79"/>
    <w:rsid w:val="00142ADD"/>
    <w:rsid w:val="00143FB4"/>
    <w:rsid w:val="00160C42"/>
    <w:rsid w:val="00185620"/>
    <w:rsid w:val="00193A76"/>
    <w:rsid w:val="001A44FC"/>
    <w:rsid w:val="001A6B8A"/>
    <w:rsid w:val="001D70B0"/>
    <w:rsid w:val="001E0E97"/>
    <w:rsid w:val="001E43B8"/>
    <w:rsid w:val="00205ED8"/>
    <w:rsid w:val="002068C8"/>
    <w:rsid w:val="002237AF"/>
    <w:rsid w:val="002267D5"/>
    <w:rsid w:val="00234F52"/>
    <w:rsid w:val="002406CC"/>
    <w:rsid w:val="00245632"/>
    <w:rsid w:val="00267071"/>
    <w:rsid w:val="002825FD"/>
    <w:rsid w:val="00286C19"/>
    <w:rsid w:val="002A54E3"/>
    <w:rsid w:val="002A6384"/>
    <w:rsid w:val="002B0588"/>
    <w:rsid w:val="002B1F37"/>
    <w:rsid w:val="002B680C"/>
    <w:rsid w:val="002C3C29"/>
    <w:rsid w:val="002C5001"/>
    <w:rsid w:val="002D1616"/>
    <w:rsid w:val="002D626C"/>
    <w:rsid w:val="002E4C7C"/>
    <w:rsid w:val="00307007"/>
    <w:rsid w:val="00307D7D"/>
    <w:rsid w:val="00310254"/>
    <w:rsid w:val="00311262"/>
    <w:rsid w:val="00320333"/>
    <w:rsid w:val="00325706"/>
    <w:rsid w:val="00327B15"/>
    <w:rsid w:val="00331A97"/>
    <w:rsid w:val="00333985"/>
    <w:rsid w:val="00334046"/>
    <w:rsid w:val="00335D80"/>
    <w:rsid w:val="00337E74"/>
    <w:rsid w:val="0034080C"/>
    <w:rsid w:val="00350F27"/>
    <w:rsid w:val="00351658"/>
    <w:rsid w:val="003547C5"/>
    <w:rsid w:val="00355C06"/>
    <w:rsid w:val="00363053"/>
    <w:rsid w:val="00367A2E"/>
    <w:rsid w:val="00387B5B"/>
    <w:rsid w:val="00397937"/>
    <w:rsid w:val="003A667A"/>
    <w:rsid w:val="003D3653"/>
    <w:rsid w:val="003D4847"/>
    <w:rsid w:val="003D4C97"/>
    <w:rsid w:val="003E25E5"/>
    <w:rsid w:val="003E2F71"/>
    <w:rsid w:val="003E5E31"/>
    <w:rsid w:val="003E6F42"/>
    <w:rsid w:val="00411F05"/>
    <w:rsid w:val="0042035E"/>
    <w:rsid w:val="00426980"/>
    <w:rsid w:val="00433C51"/>
    <w:rsid w:val="00447E2A"/>
    <w:rsid w:val="00451AFD"/>
    <w:rsid w:val="0045504E"/>
    <w:rsid w:val="00473A1E"/>
    <w:rsid w:val="0047614D"/>
    <w:rsid w:val="004871CD"/>
    <w:rsid w:val="00493626"/>
    <w:rsid w:val="00495BE9"/>
    <w:rsid w:val="004A677A"/>
    <w:rsid w:val="004A6E8C"/>
    <w:rsid w:val="004B3C2A"/>
    <w:rsid w:val="004C3B82"/>
    <w:rsid w:val="004C5448"/>
    <w:rsid w:val="004D05F2"/>
    <w:rsid w:val="0050453D"/>
    <w:rsid w:val="00525A38"/>
    <w:rsid w:val="005271C4"/>
    <w:rsid w:val="00544041"/>
    <w:rsid w:val="00557F36"/>
    <w:rsid w:val="00563B06"/>
    <w:rsid w:val="0056479B"/>
    <w:rsid w:val="005710B0"/>
    <w:rsid w:val="005738C4"/>
    <w:rsid w:val="00580E28"/>
    <w:rsid w:val="005859C6"/>
    <w:rsid w:val="005914D7"/>
    <w:rsid w:val="00593E2E"/>
    <w:rsid w:val="005D63BA"/>
    <w:rsid w:val="005E741D"/>
    <w:rsid w:val="005F0371"/>
    <w:rsid w:val="006114F3"/>
    <w:rsid w:val="00617445"/>
    <w:rsid w:val="006243D2"/>
    <w:rsid w:val="006264F4"/>
    <w:rsid w:val="0063015C"/>
    <w:rsid w:val="006324F8"/>
    <w:rsid w:val="00661765"/>
    <w:rsid w:val="00671530"/>
    <w:rsid w:val="00681F47"/>
    <w:rsid w:val="00694D0D"/>
    <w:rsid w:val="006A1739"/>
    <w:rsid w:val="006B48B1"/>
    <w:rsid w:val="006C3072"/>
    <w:rsid w:val="006C6A67"/>
    <w:rsid w:val="006D3362"/>
    <w:rsid w:val="006D4395"/>
    <w:rsid w:val="006D7895"/>
    <w:rsid w:val="006F0C0E"/>
    <w:rsid w:val="006F3986"/>
    <w:rsid w:val="007003FF"/>
    <w:rsid w:val="00705DA8"/>
    <w:rsid w:val="0070781A"/>
    <w:rsid w:val="00715D23"/>
    <w:rsid w:val="007226E3"/>
    <w:rsid w:val="00724D99"/>
    <w:rsid w:val="00731573"/>
    <w:rsid w:val="00737A8E"/>
    <w:rsid w:val="00741F44"/>
    <w:rsid w:val="00747B7D"/>
    <w:rsid w:val="00747CDA"/>
    <w:rsid w:val="0075180B"/>
    <w:rsid w:val="0075464C"/>
    <w:rsid w:val="0076171E"/>
    <w:rsid w:val="0077054F"/>
    <w:rsid w:val="00774D19"/>
    <w:rsid w:val="00780091"/>
    <w:rsid w:val="00780EF2"/>
    <w:rsid w:val="0078288C"/>
    <w:rsid w:val="007A1F7E"/>
    <w:rsid w:val="007A56A2"/>
    <w:rsid w:val="007C7B55"/>
    <w:rsid w:val="007D07F5"/>
    <w:rsid w:val="007E16A5"/>
    <w:rsid w:val="007E2947"/>
    <w:rsid w:val="007F2D18"/>
    <w:rsid w:val="007F4A87"/>
    <w:rsid w:val="00800444"/>
    <w:rsid w:val="00800F71"/>
    <w:rsid w:val="0081557B"/>
    <w:rsid w:val="00827066"/>
    <w:rsid w:val="00836467"/>
    <w:rsid w:val="00841353"/>
    <w:rsid w:val="00844EB6"/>
    <w:rsid w:val="008515F1"/>
    <w:rsid w:val="00854102"/>
    <w:rsid w:val="00856A88"/>
    <w:rsid w:val="00861986"/>
    <w:rsid w:val="008754BA"/>
    <w:rsid w:val="00875852"/>
    <w:rsid w:val="0088487F"/>
    <w:rsid w:val="0088533C"/>
    <w:rsid w:val="00885B3E"/>
    <w:rsid w:val="00896668"/>
    <w:rsid w:val="008A5592"/>
    <w:rsid w:val="008A5EDD"/>
    <w:rsid w:val="008C13A0"/>
    <w:rsid w:val="008E04F2"/>
    <w:rsid w:val="008F0570"/>
    <w:rsid w:val="008F1311"/>
    <w:rsid w:val="008F36DE"/>
    <w:rsid w:val="00900713"/>
    <w:rsid w:val="00904DBC"/>
    <w:rsid w:val="009062BE"/>
    <w:rsid w:val="00907719"/>
    <w:rsid w:val="00907FAD"/>
    <w:rsid w:val="00911588"/>
    <w:rsid w:val="00920110"/>
    <w:rsid w:val="00926266"/>
    <w:rsid w:val="00935BE1"/>
    <w:rsid w:val="0094036F"/>
    <w:rsid w:val="00945C98"/>
    <w:rsid w:val="00950F7D"/>
    <w:rsid w:val="009574D8"/>
    <w:rsid w:val="00976E05"/>
    <w:rsid w:val="00980420"/>
    <w:rsid w:val="009810BF"/>
    <w:rsid w:val="00982F03"/>
    <w:rsid w:val="0099452D"/>
    <w:rsid w:val="00994F84"/>
    <w:rsid w:val="009A5FA4"/>
    <w:rsid w:val="009C136D"/>
    <w:rsid w:val="009D1D7D"/>
    <w:rsid w:val="009D494C"/>
    <w:rsid w:val="009E102B"/>
    <w:rsid w:val="009E1451"/>
    <w:rsid w:val="009E1FD4"/>
    <w:rsid w:val="009E35B1"/>
    <w:rsid w:val="009E3AFA"/>
    <w:rsid w:val="009E6C20"/>
    <w:rsid w:val="009F07DC"/>
    <w:rsid w:val="009F27BA"/>
    <w:rsid w:val="00A15B4D"/>
    <w:rsid w:val="00A174B0"/>
    <w:rsid w:val="00A20F35"/>
    <w:rsid w:val="00A219A5"/>
    <w:rsid w:val="00A347AB"/>
    <w:rsid w:val="00A367B2"/>
    <w:rsid w:val="00A46B0D"/>
    <w:rsid w:val="00A564C8"/>
    <w:rsid w:val="00A63E00"/>
    <w:rsid w:val="00A902AF"/>
    <w:rsid w:val="00A93B8C"/>
    <w:rsid w:val="00AA1350"/>
    <w:rsid w:val="00AC28AC"/>
    <w:rsid w:val="00AC6DC6"/>
    <w:rsid w:val="00AD3488"/>
    <w:rsid w:val="00AF04C0"/>
    <w:rsid w:val="00B07842"/>
    <w:rsid w:val="00B11F9D"/>
    <w:rsid w:val="00B207CF"/>
    <w:rsid w:val="00B34CEF"/>
    <w:rsid w:val="00B454AC"/>
    <w:rsid w:val="00B913BF"/>
    <w:rsid w:val="00B96051"/>
    <w:rsid w:val="00BA244F"/>
    <w:rsid w:val="00BB07F8"/>
    <w:rsid w:val="00BB4116"/>
    <w:rsid w:val="00BB5FCB"/>
    <w:rsid w:val="00BC4F94"/>
    <w:rsid w:val="00BD6BCA"/>
    <w:rsid w:val="00BE404D"/>
    <w:rsid w:val="00C0159F"/>
    <w:rsid w:val="00C47C4C"/>
    <w:rsid w:val="00C655CF"/>
    <w:rsid w:val="00C6753C"/>
    <w:rsid w:val="00C921C5"/>
    <w:rsid w:val="00CB0C27"/>
    <w:rsid w:val="00CB5D91"/>
    <w:rsid w:val="00CD11DE"/>
    <w:rsid w:val="00CE7916"/>
    <w:rsid w:val="00CF68D2"/>
    <w:rsid w:val="00D03849"/>
    <w:rsid w:val="00D03E88"/>
    <w:rsid w:val="00D114C6"/>
    <w:rsid w:val="00D17A1F"/>
    <w:rsid w:val="00D32183"/>
    <w:rsid w:val="00D53268"/>
    <w:rsid w:val="00D57E51"/>
    <w:rsid w:val="00D77CE5"/>
    <w:rsid w:val="00D84B14"/>
    <w:rsid w:val="00D873FD"/>
    <w:rsid w:val="00DA4E45"/>
    <w:rsid w:val="00DB2FDF"/>
    <w:rsid w:val="00DB355C"/>
    <w:rsid w:val="00DB6C8D"/>
    <w:rsid w:val="00DC2E9D"/>
    <w:rsid w:val="00DD747E"/>
    <w:rsid w:val="00DE743E"/>
    <w:rsid w:val="00DE7748"/>
    <w:rsid w:val="00DF2DDD"/>
    <w:rsid w:val="00DF77CD"/>
    <w:rsid w:val="00E001E3"/>
    <w:rsid w:val="00E01768"/>
    <w:rsid w:val="00E11982"/>
    <w:rsid w:val="00E21B5A"/>
    <w:rsid w:val="00E308AB"/>
    <w:rsid w:val="00E309A4"/>
    <w:rsid w:val="00E34AEB"/>
    <w:rsid w:val="00E40C41"/>
    <w:rsid w:val="00E418CE"/>
    <w:rsid w:val="00E4251D"/>
    <w:rsid w:val="00E56456"/>
    <w:rsid w:val="00E6138D"/>
    <w:rsid w:val="00E65C3D"/>
    <w:rsid w:val="00E701DA"/>
    <w:rsid w:val="00E7744B"/>
    <w:rsid w:val="00E77AB7"/>
    <w:rsid w:val="00E87323"/>
    <w:rsid w:val="00E937E1"/>
    <w:rsid w:val="00EA3B71"/>
    <w:rsid w:val="00EB26D3"/>
    <w:rsid w:val="00ED7F94"/>
    <w:rsid w:val="00EE0E59"/>
    <w:rsid w:val="00EE4A48"/>
    <w:rsid w:val="00EF00BA"/>
    <w:rsid w:val="00EF3483"/>
    <w:rsid w:val="00F111EB"/>
    <w:rsid w:val="00F21DAA"/>
    <w:rsid w:val="00F32F02"/>
    <w:rsid w:val="00F45AF9"/>
    <w:rsid w:val="00F46B43"/>
    <w:rsid w:val="00F634C5"/>
    <w:rsid w:val="00F6459E"/>
    <w:rsid w:val="00F66673"/>
    <w:rsid w:val="00F67DCA"/>
    <w:rsid w:val="00F7304B"/>
    <w:rsid w:val="00F8416C"/>
    <w:rsid w:val="00F92BBE"/>
    <w:rsid w:val="00F93750"/>
    <w:rsid w:val="00F97315"/>
    <w:rsid w:val="00FA0126"/>
    <w:rsid w:val="00FA0BD0"/>
    <w:rsid w:val="00FA2836"/>
    <w:rsid w:val="00FB0130"/>
    <w:rsid w:val="00FB28CC"/>
    <w:rsid w:val="00FB618C"/>
    <w:rsid w:val="00FB622D"/>
    <w:rsid w:val="00FC489C"/>
    <w:rsid w:val="00FD1B2E"/>
    <w:rsid w:val="00FD54F1"/>
    <w:rsid w:val="00FD7C1B"/>
    <w:rsid w:val="00FE18F6"/>
    <w:rsid w:val="00FF1EFA"/>
    <w:rsid w:val="01B02B9A"/>
    <w:rsid w:val="02B0595D"/>
    <w:rsid w:val="046166CA"/>
    <w:rsid w:val="05752346"/>
    <w:rsid w:val="06427BD1"/>
    <w:rsid w:val="085654B8"/>
    <w:rsid w:val="0AA001F6"/>
    <w:rsid w:val="0C8C6ACD"/>
    <w:rsid w:val="0E002F65"/>
    <w:rsid w:val="125748B2"/>
    <w:rsid w:val="13C30FA2"/>
    <w:rsid w:val="14D36FF3"/>
    <w:rsid w:val="166F638A"/>
    <w:rsid w:val="17CA4456"/>
    <w:rsid w:val="1AE819CA"/>
    <w:rsid w:val="1B2B0717"/>
    <w:rsid w:val="1BAA3992"/>
    <w:rsid w:val="1C5F20A6"/>
    <w:rsid w:val="1E0A7E3D"/>
    <w:rsid w:val="1FE452DD"/>
    <w:rsid w:val="21840F34"/>
    <w:rsid w:val="22272567"/>
    <w:rsid w:val="224E070B"/>
    <w:rsid w:val="2250266F"/>
    <w:rsid w:val="239049ED"/>
    <w:rsid w:val="24307DFE"/>
    <w:rsid w:val="26CB4FBD"/>
    <w:rsid w:val="27FD000B"/>
    <w:rsid w:val="28636543"/>
    <w:rsid w:val="28FF3ABF"/>
    <w:rsid w:val="29D8289B"/>
    <w:rsid w:val="2AC703BF"/>
    <w:rsid w:val="2B8C3AC6"/>
    <w:rsid w:val="2CDE0A13"/>
    <w:rsid w:val="2E291E44"/>
    <w:rsid w:val="30790FC2"/>
    <w:rsid w:val="314B3348"/>
    <w:rsid w:val="316D2919"/>
    <w:rsid w:val="318F5E18"/>
    <w:rsid w:val="32263FB0"/>
    <w:rsid w:val="32BB489F"/>
    <w:rsid w:val="36396747"/>
    <w:rsid w:val="36EA217E"/>
    <w:rsid w:val="389640AA"/>
    <w:rsid w:val="395B4C1C"/>
    <w:rsid w:val="39EE1BE8"/>
    <w:rsid w:val="3A9D21E1"/>
    <w:rsid w:val="3AAE3446"/>
    <w:rsid w:val="3AE879F9"/>
    <w:rsid w:val="3BAF6DBF"/>
    <w:rsid w:val="3D74118A"/>
    <w:rsid w:val="3F997461"/>
    <w:rsid w:val="412F2E76"/>
    <w:rsid w:val="41CF23CD"/>
    <w:rsid w:val="422763A9"/>
    <w:rsid w:val="42574095"/>
    <w:rsid w:val="42AB3499"/>
    <w:rsid w:val="42F61410"/>
    <w:rsid w:val="461539E6"/>
    <w:rsid w:val="47173A6A"/>
    <w:rsid w:val="492A0371"/>
    <w:rsid w:val="49AF59E5"/>
    <w:rsid w:val="4B57605D"/>
    <w:rsid w:val="4D6F217E"/>
    <w:rsid w:val="4DE62D69"/>
    <w:rsid w:val="4EF22857"/>
    <w:rsid w:val="4F745A18"/>
    <w:rsid w:val="515A2FF9"/>
    <w:rsid w:val="52BF327E"/>
    <w:rsid w:val="52CA29FF"/>
    <w:rsid w:val="54173E26"/>
    <w:rsid w:val="54C57F36"/>
    <w:rsid w:val="5A40662A"/>
    <w:rsid w:val="5BE96376"/>
    <w:rsid w:val="5BFF258C"/>
    <w:rsid w:val="5DB72FE3"/>
    <w:rsid w:val="5E4F5B8A"/>
    <w:rsid w:val="607A2CB5"/>
    <w:rsid w:val="61862585"/>
    <w:rsid w:val="61DA50BA"/>
    <w:rsid w:val="620C251D"/>
    <w:rsid w:val="62204ADE"/>
    <w:rsid w:val="6282308A"/>
    <w:rsid w:val="632B49DB"/>
    <w:rsid w:val="68B61095"/>
    <w:rsid w:val="693E064A"/>
    <w:rsid w:val="69A36DCF"/>
    <w:rsid w:val="6A603DE3"/>
    <w:rsid w:val="6BC1070E"/>
    <w:rsid w:val="6C8867A3"/>
    <w:rsid w:val="734950ED"/>
    <w:rsid w:val="738706B4"/>
    <w:rsid w:val="74141586"/>
    <w:rsid w:val="74BD7DEE"/>
    <w:rsid w:val="755469CE"/>
    <w:rsid w:val="77602DC9"/>
    <w:rsid w:val="797846B3"/>
    <w:rsid w:val="79971C39"/>
    <w:rsid w:val="7A527B37"/>
    <w:rsid w:val="7B1B52A3"/>
    <w:rsid w:val="7DE62C18"/>
    <w:rsid w:val="7E56709C"/>
    <w:rsid w:val="7F34552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6"/>
    <w:qFormat/>
    <w:locked/>
    <w:uiPriority w:val="0"/>
    <w:pPr>
      <w:keepNext/>
      <w:keepLines/>
      <w:spacing w:before="340" w:after="330" w:line="578" w:lineRule="auto"/>
      <w:outlineLvl w:val="0"/>
    </w:pPr>
    <w:rPr>
      <w:rFonts w:cs="Times New Roman"/>
      <w:b/>
      <w:bCs/>
      <w:kern w:val="44"/>
      <w:sz w:val="44"/>
      <w:szCs w:val="44"/>
    </w:rPr>
  </w:style>
  <w:style w:type="paragraph" w:styleId="3">
    <w:name w:val="heading 2"/>
    <w:basedOn w:val="1"/>
    <w:next w:val="1"/>
    <w:link w:val="17"/>
    <w:qFormat/>
    <w:uiPriority w:val="9"/>
    <w:pPr>
      <w:keepNext/>
      <w:keepLines/>
      <w:spacing w:line="460" w:lineRule="exact"/>
      <w:ind w:left="480" w:leftChars="200"/>
      <w:outlineLvl w:val="1"/>
    </w:pPr>
    <w:rPr>
      <w:rFonts w:ascii="Cambria" w:hAnsi="Cambria" w:cs="Times New Roman"/>
      <w:b/>
      <w:bCs/>
      <w:kern w:val="0"/>
      <w:sz w:val="32"/>
      <w:szCs w:val="32"/>
    </w:rPr>
  </w:style>
  <w:style w:type="paragraph" w:styleId="4">
    <w:name w:val="heading 3"/>
    <w:basedOn w:val="1"/>
    <w:next w:val="1"/>
    <w:link w:val="31"/>
    <w:unhideWhenUsed/>
    <w:qFormat/>
    <w:locked/>
    <w:uiPriority w:val="0"/>
    <w:pPr>
      <w:keepNext/>
      <w:keepLines/>
      <w:spacing w:before="260" w:after="260" w:line="413" w:lineRule="auto"/>
      <w:outlineLvl w:val="2"/>
    </w:pPr>
    <w:rPr>
      <w:b/>
      <w:sz w:val="32"/>
    </w:rPr>
  </w:style>
  <w:style w:type="paragraph" w:styleId="5">
    <w:name w:val="heading 4"/>
    <w:basedOn w:val="1"/>
    <w:next w:val="1"/>
    <w:link w:val="27"/>
    <w:semiHidden/>
    <w:unhideWhenUsed/>
    <w:qFormat/>
    <w:locked/>
    <w:uiPriority w:val="0"/>
    <w:pPr>
      <w:keepNext/>
      <w:keepLines/>
      <w:spacing w:before="280" w:after="290" w:line="376" w:lineRule="auto"/>
      <w:outlineLvl w:val="3"/>
    </w:pPr>
    <w:rPr>
      <w:rFonts w:ascii="Cambria" w:hAnsi="Cambria" w:cs="Times New Roman"/>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Date"/>
    <w:basedOn w:val="1"/>
    <w:next w:val="1"/>
    <w:link w:val="18"/>
    <w:qFormat/>
    <w:uiPriority w:val="99"/>
    <w:pPr>
      <w:ind w:left="100" w:leftChars="2500"/>
    </w:pPr>
    <w:rPr>
      <w:rFonts w:cs="Times New Roman"/>
      <w:kern w:val="0"/>
      <w:sz w:val="20"/>
      <w:szCs w:val="20"/>
    </w:rPr>
  </w:style>
  <w:style w:type="paragraph" w:styleId="7">
    <w:name w:val="Balloon Text"/>
    <w:basedOn w:val="1"/>
    <w:link w:val="19"/>
    <w:semiHidden/>
    <w:qFormat/>
    <w:uiPriority w:val="99"/>
    <w:rPr>
      <w:rFonts w:cs="Times New Roman"/>
      <w:kern w:val="0"/>
      <w:sz w:val="18"/>
      <w:szCs w:val="18"/>
    </w:rPr>
  </w:style>
  <w:style w:type="paragraph" w:styleId="8">
    <w:name w:val="footer"/>
    <w:basedOn w:val="1"/>
    <w:link w:val="20"/>
    <w:qFormat/>
    <w:uiPriority w:val="99"/>
    <w:pPr>
      <w:tabs>
        <w:tab w:val="center" w:pos="4153"/>
        <w:tab w:val="right" w:pos="8306"/>
      </w:tabs>
      <w:snapToGrid w:val="0"/>
      <w:jc w:val="left"/>
    </w:pPr>
    <w:rPr>
      <w:rFonts w:cs="Times New Roman"/>
      <w:kern w:val="0"/>
      <w:sz w:val="18"/>
      <w:szCs w:val="18"/>
    </w:rPr>
  </w:style>
  <w:style w:type="paragraph" w:styleId="9">
    <w:name w:val="header"/>
    <w:basedOn w:val="1"/>
    <w:link w:val="21"/>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next w:val="1"/>
    <w:link w:val="25"/>
    <w:qFormat/>
    <w:locked/>
    <w:uiPriority w:val="0"/>
    <w:pPr>
      <w:spacing w:before="240" w:after="60" w:line="460" w:lineRule="exact"/>
      <w:ind w:firstLine="200" w:firstLineChars="200"/>
      <w:jc w:val="center"/>
      <w:outlineLvl w:val="0"/>
    </w:pPr>
    <w:rPr>
      <w:rFonts w:ascii="Cambria" w:hAnsi="Cambria" w:eastAsia="黑体" w:cs="Times New Roman"/>
      <w:b/>
      <w:bCs/>
      <w:kern w:val="0"/>
      <w:sz w:val="36"/>
      <w:szCs w:val="32"/>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99"/>
    <w:rPr>
      <w:b/>
      <w:bCs/>
    </w:rPr>
  </w:style>
  <w:style w:type="character" w:styleId="16">
    <w:name w:val="Hyperlink"/>
    <w:qFormat/>
    <w:uiPriority w:val="99"/>
    <w:rPr>
      <w:color w:val="0000FF"/>
      <w:u w:val="single"/>
    </w:rPr>
  </w:style>
  <w:style w:type="character" w:customStyle="1" w:styleId="17">
    <w:name w:val="标题 2 字符"/>
    <w:link w:val="3"/>
    <w:semiHidden/>
    <w:qFormat/>
    <w:uiPriority w:val="9"/>
    <w:rPr>
      <w:rFonts w:ascii="Cambria" w:hAnsi="Cambria" w:eastAsia="宋体" w:cs="Times New Roman"/>
      <w:b/>
      <w:bCs/>
      <w:sz w:val="32"/>
      <w:szCs w:val="32"/>
    </w:rPr>
  </w:style>
  <w:style w:type="character" w:customStyle="1" w:styleId="18">
    <w:name w:val="日期 字符"/>
    <w:link w:val="6"/>
    <w:semiHidden/>
    <w:qFormat/>
    <w:locked/>
    <w:uiPriority w:val="99"/>
    <w:rPr>
      <w:rFonts w:ascii="Calibri" w:hAnsi="Calibri" w:eastAsia="宋体" w:cs="Calibri"/>
    </w:rPr>
  </w:style>
  <w:style w:type="character" w:customStyle="1" w:styleId="19">
    <w:name w:val="批注框文本 字符"/>
    <w:link w:val="7"/>
    <w:semiHidden/>
    <w:qFormat/>
    <w:locked/>
    <w:uiPriority w:val="99"/>
    <w:rPr>
      <w:rFonts w:ascii="Calibri" w:hAnsi="Calibri" w:eastAsia="宋体" w:cs="Calibri"/>
      <w:sz w:val="18"/>
      <w:szCs w:val="18"/>
    </w:rPr>
  </w:style>
  <w:style w:type="character" w:customStyle="1" w:styleId="20">
    <w:name w:val="页脚 字符"/>
    <w:link w:val="8"/>
    <w:qFormat/>
    <w:locked/>
    <w:uiPriority w:val="99"/>
    <w:rPr>
      <w:rFonts w:ascii="Calibri" w:hAnsi="Calibri" w:eastAsia="宋体" w:cs="Calibri"/>
      <w:sz w:val="18"/>
      <w:szCs w:val="18"/>
    </w:rPr>
  </w:style>
  <w:style w:type="character" w:customStyle="1" w:styleId="21">
    <w:name w:val="页眉 字符"/>
    <w:link w:val="9"/>
    <w:qFormat/>
    <w:locked/>
    <w:uiPriority w:val="99"/>
    <w:rPr>
      <w:rFonts w:ascii="Calibri" w:hAnsi="Calibri" w:eastAsia="宋体" w:cs="Calibri"/>
      <w:sz w:val="18"/>
      <w:szCs w:val="18"/>
    </w:rPr>
  </w:style>
  <w:style w:type="paragraph" w:customStyle="1" w:styleId="22">
    <w:name w:val="Char Char Char Char"/>
    <w:basedOn w:val="1"/>
    <w:qFormat/>
    <w:uiPriority w:val="99"/>
    <w:pPr>
      <w:widowControl/>
      <w:spacing w:after="160" w:line="240" w:lineRule="exact"/>
      <w:jc w:val="left"/>
    </w:pPr>
    <w:rPr>
      <w:rFonts w:ascii="Tahoma" w:hAnsi="Tahoma" w:cs="Tahoma"/>
      <w:kern w:val="0"/>
      <w:sz w:val="20"/>
      <w:szCs w:val="20"/>
      <w:lang w:eastAsia="en-US"/>
    </w:rPr>
  </w:style>
  <w:style w:type="paragraph" w:customStyle="1" w:styleId="23">
    <w:name w:val="List Paragraph1"/>
    <w:basedOn w:val="1"/>
    <w:qFormat/>
    <w:uiPriority w:val="99"/>
    <w:pPr>
      <w:ind w:firstLine="420" w:firstLineChars="200"/>
    </w:pPr>
  </w:style>
  <w:style w:type="paragraph" w:customStyle="1" w:styleId="24">
    <w:name w:val="p0"/>
    <w:basedOn w:val="1"/>
    <w:qFormat/>
    <w:uiPriority w:val="99"/>
    <w:pPr>
      <w:widowControl/>
    </w:pPr>
    <w:rPr>
      <w:kern w:val="0"/>
    </w:rPr>
  </w:style>
  <w:style w:type="character" w:customStyle="1" w:styleId="25">
    <w:name w:val="标题 字符"/>
    <w:link w:val="11"/>
    <w:qFormat/>
    <w:uiPriority w:val="0"/>
    <w:rPr>
      <w:rFonts w:ascii="Cambria" w:hAnsi="Cambria" w:eastAsia="黑体" w:cs="Times New Roman"/>
      <w:b/>
      <w:bCs/>
      <w:sz w:val="36"/>
      <w:szCs w:val="32"/>
    </w:rPr>
  </w:style>
  <w:style w:type="character" w:customStyle="1" w:styleId="26">
    <w:name w:val="标题 1 字符"/>
    <w:link w:val="2"/>
    <w:qFormat/>
    <w:uiPriority w:val="0"/>
    <w:rPr>
      <w:rFonts w:ascii="Calibri" w:hAnsi="Calibri" w:cs="Calibri"/>
      <w:b/>
      <w:bCs/>
      <w:kern w:val="44"/>
      <w:sz w:val="44"/>
      <w:szCs w:val="44"/>
    </w:rPr>
  </w:style>
  <w:style w:type="character" w:customStyle="1" w:styleId="27">
    <w:name w:val="标题 4 字符"/>
    <w:link w:val="5"/>
    <w:semiHidden/>
    <w:qFormat/>
    <w:uiPriority w:val="0"/>
    <w:rPr>
      <w:rFonts w:ascii="Cambria" w:hAnsi="Cambria" w:eastAsia="宋体" w:cs="Times New Roman"/>
      <w:b/>
      <w:bCs/>
      <w:kern w:val="2"/>
      <w:sz w:val="28"/>
      <w:szCs w:val="28"/>
    </w:rPr>
  </w:style>
  <w:style w:type="paragraph" w:customStyle="1" w:styleId="28">
    <w:name w:val="表格内容"/>
    <w:basedOn w:val="1"/>
    <w:qFormat/>
    <w:uiPriority w:val="0"/>
    <w:pPr>
      <w:overflowPunct w:val="0"/>
      <w:adjustRightInd w:val="0"/>
      <w:snapToGrid w:val="0"/>
      <w:jc w:val="center"/>
    </w:pPr>
    <w:rPr>
      <w:rFonts w:ascii="仿宋" w:hAnsi="仿宋" w:cs="仿宋"/>
      <w:szCs w:val="30"/>
    </w:rPr>
  </w:style>
  <w:style w:type="paragraph" w:styleId="29">
    <w:name w:val="List Paragraph"/>
    <w:basedOn w:val="1"/>
    <w:qFormat/>
    <w:uiPriority w:val="34"/>
    <w:pPr>
      <w:ind w:firstLine="420" w:firstLineChars="200"/>
    </w:pPr>
  </w:style>
  <w:style w:type="paragraph" w:customStyle="1" w:styleId="30">
    <w:name w:val="Revision"/>
    <w:hidden/>
    <w:semiHidden/>
    <w:qFormat/>
    <w:uiPriority w:val="99"/>
    <w:rPr>
      <w:rFonts w:ascii="Calibri" w:hAnsi="Calibri" w:eastAsia="宋体" w:cs="Calibri"/>
      <w:kern w:val="2"/>
      <w:sz w:val="21"/>
      <w:szCs w:val="21"/>
      <w:lang w:val="en-US" w:eastAsia="zh-CN" w:bidi="ar-SA"/>
    </w:rPr>
  </w:style>
  <w:style w:type="character" w:customStyle="1" w:styleId="31">
    <w:name w:val="标题 3 字符"/>
    <w:basedOn w:val="14"/>
    <w:link w:val="4"/>
    <w:qFormat/>
    <w:uiPriority w:val="0"/>
    <w:rPr>
      <w:rFonts w:ascii="Calibri" w:hAnsi="Calibri" w:cs="Calibri"/>
      <w:b/>
      <w:kern w:val="2"/>
      <w:sz w:val="32"/>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1543</Words>
  <Characters>8800</Characters>
  <Lines>73</Lines>
  <Paragraphs>20</Paragraphs>
  <TotalTime>5</TotalTime>
  <ScaleCrop>false</ScaleCrop>
  <LinksUpToDate>false</LinksUpToDate>
  <CharactersWithSpaces>10323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2020-04-13T05:45:00Z</dcterms:created>
  <dc:creator>Administrator</dc:creator>
  <cp:lastModifiedBy>弘雪</cp:lastModifiedBy>
  <cp:lastPrinted>2021-03-23T07:22:00Z</cp:lastPrinted>
  <dcterms:modified xsi:type="dcterms:W3CDTF">2022-01-14T09:41:47Z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5E1882D5DEED46089BCE38D0D61D0745</vt:lpwstr>
  </property>
</Properties>
</file>